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471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spacing w:after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  <w:shd w:val="clear" w:color="ddebf6" w:themeColor="accent1" w:themeTint="33" w:fill="ddebf6" w:themeFill="accent1" w:themeFillTint="33"/>
              </w:rPr>
              <w:t xml:space="preserve">«05» июня 2026 г</w:t>
            </w:r>
            <w:r>
              <w:rPr>
                <w:color w:val="000000"/>
                <w:highlight w:val="white"/>
              </w:rPr>
              <w:t xml:space="preserve">.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</w:tr>
    </w:tbl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56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КОНКУРС В ЭЛЕКТРОННОЙ ФОРМЕ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spacing w:after="120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b/>
          <w:bCs/>
          <w:highlight w:val="white"/>
          <w:shd w:val="clear" w:color="auto" w:fill="deeaf6" w:themeFill="accent1" w:themeFillTint="33"/>
        </w:rPr>
      </w:r>
      <w:r>
        <w:rPr>
          <w:b/>
          <w:bCs/>
          <w:highlight w:val="white"/>
          <w:shd w:val="clear" w:color="auto" w:fill="deeaf6" w:themeFill="accent1" w:themeFillTint="33"/>
        </w:rPr>
        <w:t xml:space="preserve">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3.11р)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spacing w:after="12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420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Калининград</w:t>
      </w:r>
      <w:r>
        <w:rPr>
          <w:bCs/>
        </w:rPr>
        <w:br/>
      </w:r>
      <w:r>
        <w:rPr>
          <w:b/>
          <w:bCs/>
        </w:rPr>
        <w:t xml:space="preserve">2026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1226"/>
        <w:ind w:left="567" w:firstLine="0"/>
        <w:keepNext w:val="0"/>
        <w:spacing w:before="0" w:after="0"/>
        <w:tabs>
          <w:tab w:val="clear" w:pos="432" w:leader="none"/>
        </w:tabs>
        <w:rPr>
          <w:rStyle w:val="1397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211" w:name="_Toc1"/>
      <w:r>
        <w:rPr>
          <w:rStyle w:val="1397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bookmarkEnd w:id="211"/>
      <w:r>
        <w:rPr>
          <w:rStyle w:val="1397"/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Style w:val="1397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416"/>
        <w:tabs>
          <w:tab w:val="right" w:pos="10195" w:leader="dot"/>
        </w:tabs>
        <w:rPr>
          <w:rStyle w:val="1397"/>
          <w:rFonts w:ascii="Times New Roman" w:hAnsi="Times New Roman" w:cs="Times New Roman"/>
          <w:caps/>
        </w:rPr>
      </w:pPr>
      <w:r>
        <w:rPr>
          <w:i/>
          <w:iCs/>
          <w:smallCaps/>
          <w:sz w:val="24"/>
          <w:szCs w:val="24"/>
        </w:rPr>
        <w:fldChar w:fldCharType="begin"/>
      </w:r>
      <w:r>
        <w:rPr>
          <w:i/>
          <w:iCs/>
          <w:smallCaps/>
          <w:sz w:val="24"/>
          <w:szCs w:val="24"/>
        </w:rPr>
        <w:instrText xml:space="preserve"> TOC \o "1-2" \h \z \u </w:instrText>
      </w:r>
      <w:r>
        <w:rPr>
          <w:i/>
          <w:iCs/>
          <w:smallCaps/>
          <w:sz w:val="24"/>
          <w:szCs w:val="24"/>
        </w:rPr>
        <w:fldChar w:fldCharType="separate"/>
      </w:r>
      <w:r>
        <w:rPr>
          <w:b w:val="0"/>
          <w:bCs/>
          <w:i/>
          <w:smallCaps/>
          <w:sz w:val="24"/>
          <w:szCs w:val="24"/>
        </w:rPr>
      </w:r>
      <w:hyperlink w:tooltip="#_Toc1" w:anchor="_Toc1" w:history="1">
        <w:r>
          <w:rPr>
            <w:rStyle w:val="1446"/>
          </w:rPr>
        </w:r>
        <w:r>
          <w:rPr>
            <w:rStyle w:val="1446"/>
            <w:rFonts w:ascii="Times New Roman" w:hAnsi="Times New Roman" w:cs="Times New Roman"/>
            <w:caps/>
          </w:rPr>
          <w:t xml:space="preserve">СОДЕРЖАНИЕ</w:t>
        </w:r>
        <w:r>
          <w:rPr>
            <w:rStyle w:val="1446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2</w:t>
          <w:fldChar w:fldCharType="end"/>
        </w:r>
      </w:hyperlink>
      <w:r>
        <w:rPr>
          <w:rStyle w:val="1397"/>
          <w:rFonts w:ascii="Times New Roman" w:hAnsi="Times New Roman" w:cs="Times New Roman"/>
          <w:caps/>
        </w:rPr>
      </w:r>
      <w:r>
        <w:rPr>
          <w:rStyle w:val="1397"/>
          <w:rFonts w:ascii="Times New Roman" w:hAnsi="Times New Roman" w:cs="Times New Roman"/>
          <w:caps/>
        </w:rPr>
      </w:r>
    </w:p>
    <w:p>
      <w:pPr>
        <w:pStyle w:val="1416"/>
        <w:tabs>
          <w:tab w:val="left" w:pos="567" w:leader="none"/>
          <w:tab w:val="right" w:pos="10195" w:leader="dot"/>
        </w:tabs>
        <w:rPr>
          <w:rStyle w:val="1397"/>
          <w:caps/>
        </w:rPr>
      </w:pPr>
      <w:r/>
      <w:hyperlink w:tooltip="#_Toc2" w:anchor="_Toc2" w:history="1">
        <w:r>
          <w:rPr>
            <w:rFonts w:ascii="Times New Roman" w:hAnsi="Times New Roman" w:eastAsia="Times New Roman" w:cs="Times New Roman"/>
          </w:rPr>
          <w:t xml:space="preserve">I.</w:t>
        </w:r>
        <w:r>
          <w:tab/>
        </w:r>
        <w:r>
          <w:rPr>
            <w:rStyle w:val="1446"/>
          </w:rPr>
        </w:r>
        <w:r>
          <w:rPr>
            <w:rStyle w:val="1446"/>
            <w:rFonts w:ascii="Times New Roman" w:hAnsi="Times New Roman" w:cs="Times New Roman"/>
            <w:caps/>
          </w:rPr>
          <w:t xml:space="preserve">ОБЩИЕ УСЛОВИЯ ПРОВЕДЕНИЯ ЗАКУПКИ</w:t>
        </w:r>
        <w:r>
          <w:rPr>
            <w:rStyle w:val="1446"/>
            <w:caps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4</w:t>
          <w:fldChar w:fldCharType="end"/>
        </w:r>
      </w:hyperlink>
      <w:r>
        <w:rPr>
          <w:rStyle w:val="1397"/>
          <w:caps/>
        </w:rPr>
      </w:r>
      <w:r>
        <w:rPr>
          <w:rStyle w:val="1397"/>
          <w:caps/>
        </w:rPr>
      </w:r>
    </w:p>
    <w:p>
      <w:pPr>
        <w:pStyle w:val="1416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rPr>
            <w:rFonts w:ascii="Times New Roman" w:hAnsi="Times New Roman" w:eastAsia="Times New Roman" w:cs="Times New Roman"/>
          </w:rPr>
          <w:t xml:space="preserve">1.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ОБЩИЕ ПОЛОЖЕНИЯ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4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rPr>
            <w:rFonts w:ascii="Times New Roman" w:hAnsi="Times New Roman" w:eastAsia="Times New Roman" w:cs="Times New Roman"/>
          </w:rPr>
          <w:t xml:space="preserve">1.1.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Правовой статус документов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4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rPr>
            <w:rFonts w:ascii="Times New Roman" w:hAnsi="Times New Roman" w:eastAsia="Times New Roman" w:cs="Times New Roman"/>
          </w:rPr>
          <w:t xml:space="preserve">1.2.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Заказчик, предмет и условия проведения закупки.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rPr>
            <w:rFonts w:ascii="Times New Roman" w:hAnsi="Times New Roman" w:eastAsia="Times New Roman" w:cs="Times New Roman"/>
          </w:rPr>
          <w:t xml:space="preserve">1.3.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Начальная (максимальная) цена договора (цена лота) 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5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rPr>
            <w:rFonts w:ascii="Times New Roman" w:hAnsi="Times New Roman" w:eastAsia="Times New Roman" w:cs="Times New Roman"/>
          </w:rPr>
          <w:t xml:space="preserve">1.4.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участникам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5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rPr>
            <w:rFonts w:ascii="Times New Roman" w:hAnsi="Times New Roman" w:eastAsia="Times New Roman" w:cs="Times New Roman"/>
          </w:rPr>
          <w:t xml:space="preserve">1.5.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Привлечение соисполнителей (субподрядчиков) к исполнению договора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rPr>
            <w:rFonts w:ascii="Times New Roman" w:hAnsi="Times New Roman" w:eastAsia="Times New Roman" w:cs="Times New Roman"/>
          </w:rPr>
          <w:t xml:space="preserve">1.6.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Расходы н</w:t>
        </w:r>
        <w:r>
          <w:rPr>
            <w:rStyle w:val="1446"/>
          </w:rPr>
          <w:t xml:space="preserve">а участие в закупке и при заключении договора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rPr>
            <w:rFonts w:ascii="Times New Roman" w:hAnsi="Times New Roman" w:eastAsia="Times New Roman" w:cs="Times New Roman"/>
          </w:rPr>
          <w:t xml:space="preserve">1.7.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</w:t>
        </w:r>
        <w:r>
          <w:rPr>
            <w:rStyle w:val="1446"/>
          </w:rPr>
          <w:t xml:space="preserve">и видами юридических лиц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11" w:anchor="_Toc11" w:history="1">
        <w:r>
          <w:rPr>
            <w:rFonts w:ascii="Times New Roman" w:hAnsi="Times New Roman" w:eastAsia="Times New Roman" w:cs="Times New Roman"/>
          </w:rPr>
          <w:t xml:space="preserve">1.8.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Антимонопольная оговорка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7</w:t>
          <w:fldChar w:fldCharType="end"/>
        </w:r>
      </w:hyperlink>
      <w:r/>
      <w:r/>
    </w:p>
    <w:p>
      <w:pPr>
        <w:pStyle w:val="1416"/>
        <w:tabs>
          <w:tab w:val="left" w:pos="567" w:leader="none"/>
          <w:tab w:val="right" w:pos="10195" w:leader="dot"/>
        </w:tabs>
      </w:pPr>
      <w:r/>
      <w:hyperlink w:tooltip="#_Toc12" w:anchor="_Toc12" w:history="1">
        <w:r>
          <w:rPr>
            <w:rFonts w:ascii="Times New Roman" w:hAnsi="Times New Roman" w:eastAsia="Times New Roman" w:cs="Times New Roman"/>
          </w:rPr>
          <w:t xml:space="preserve">2.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ДОКУМЕНТАЦИЯ О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7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rPr>
            <w:rFonts w:ascii="Times New Roman" w:hAnsi="Times New Roman" w:eastAsia="Times New Roman" w:cs="Times New Roman"/>
          </w:rPr>
          <w:t xml:space="preserve">2.1.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Предоставление документации</w:t>
        </w:r>
        <w:r>
          <w:rPr>
            <w:rStyle w:val="1446"/>
          </w:rPr>
          <w:t xml:space="preserve"> о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7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rPr>
            <w:rFonts w:ascii="Times New Roman" w:hAnsi="Times New Roman" w:eastAsia="Times New Roman" w:cs="Times New Roman"/>
          </w:rPr>
          <w:t xml:space="preserve">2.2.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Разъяснение положений документации о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7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rPr>
            <w:rFonts w:ascii="Times New Roman" w:hAnsi="Times New Roman" w:eastAsia="Times New Roman" w:cs="Times New Roman"/>
          </w:rPr>
          <w:t xml:space="preserve">2.3.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Внесение изменений в извещение о </w:t>
        </w:r>
        <w:r>
          <w:rPr>
            <w:rStyle w:val="1446"/>
          </w:rPr>
          <w:t xml:space="preserve">закупке и/или документацию о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8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16" w:anchor="_Toc16" w:history="1">
        <w:r>
          <w:rPr>
            <w:rFonts w:ascii="Times New Roman" w:hAnsi="Times New Roman" w:eastAsia="Times New Roman" w:cs="Times New Roman"/>
          </w:rPr>
          <w:t xml:space="preserve">2.4.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Отмена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8</w:t>
          <w:fldChar w:fldCharType="end"/>
        </w:r>
      </w:hyperlink>
      <w:r/>
      <w:r/>
    </w:p>
    <w:p>
      <w:pPr>
        <w:pStyle w:val="1416"/>
        <w:tabs>
          <w:tab w:val="left" w:pos="567" w:leader="none"/>
          <w:tab w:val="right" w:pos="10195" w:leader="dot"/>
        </w:tabs>
      </w:pPr>
      <w:r/>
      <w:hyperlink w:tooltip="#_Toc17" w:anchor="_Toc17" w:history="1">
        <w:r>
          <w:rPr>
            <w:rFonts w:ascii="Times New Roman" w:hAnsi="Times New Roman" w:eastAsia="Times New Roman" w:cs="Times New Roman"/>
          </w:rPr>
          <w:t xml:space="preserve">3.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СОДЕРЖАНИЮ ЗАЯВКИ НА УЧАСТИЕ В </w:t>
        </w:r>
        <w:r>
          <w:rPr>
            <w:rStyle w:val="1446"/>
          </w:rPr>
          <w:t xml:space="preserve">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8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rPr>
            <w:rFonts w:ascii="Times New Roman" w:hAnsi="Times New Roman" w:eastAsia="Times New Roman" w:cs="Times New Roman"/>
          </w:rPr>
          <w:t xml:space="preserve">3.1.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оформлению заявки на участие в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8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rPr>
            <w:rFonts w:ascii="Times New Roman" w:hAnsi="Times New Roman" w:eastAsia="Times New Roman" w:cs="Times New Roman"/>
          </w:rPr>
          <w:t xml:space="preserve">3.2.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Язык документов, входящих в состав заявки на учас</w:t>
        </w:r>
        <w:r>
          <w:rPr>
            <w:rStyle w:val="1446"/>
          </w:rPr>
          <w:t xml:space="preserve">тие в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9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rPr>
            <w:rFonts w:ascii="Times New Roman" w:hAnsi="Times New Roman" w:eastAsia="Times New Roman" w:cs="Times New Roman"/>
          </w:rPr>
          <w:t xml:space="preserve">3.3.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валюте заявки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9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rPr>
            <w:rFonts w:ascii="Times New Roman" w:hAnsi="Times New Roman" w:eastAsia="Times New Roman" w:cs="Times New Roman"/>
          </w:rPr>
          <w:t xml:space="preserve">3.4.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составу заявки на участие в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9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rPr>
            <w:rFonts w:ascii="Times New Roman" w:hAnsi="Times New Roman" w:eastAsia="Times New Roman" w:cs="Times New Roman"/>
          </w:rPr>
          <w:t xml:space="preserve">3.5.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описанию предложения участника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10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rPr>
            <w:rFonts w:ascii="Times New Roman" w:hAnsi="Times New Roman" w:eastAsia="Times New Roman" w:cs="Times New Roman"/>
          </w:rPr>
          <w:t xml:space="preserve">3.6.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обеспечению заявок на участи</w:t>
        </w:r>
        <w:r>
          <w:rPr>
            <w:rStyle w:val="1446"/>
          </w:rPr>
          <w:t xml:space="preserve">е в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11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24" w:anchor="_Toc24" w:history="1">
        <w:r>
          <w:rPr>
            <w:rFonts w:ascii="Times New Roman" w:hAnsi="Times New Roman" w:eastAsia="Times New Roman" w:cs="Times New Roman"/>
          </w:rPr>
          <w:t xml:space="preserve">3.7.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14</w:t>
          <w:fldChar w:fldCharType="end"/>
        </w:r>
      </w:hyperlink>
      <w:r/>
      <w:r/>
    </w:p>
    <w:p>
      <w:pPr>
        <w:pStyle w:val="1416"/>
        <w:tabs>
          <w:tab w:val="left" w:pos="567" w:leader="none"/>
          <w:tab w:val="right" w:pos="10195" w:leader="dot"/>
        </w:tabs>
      </w:pPr>
      <w:r/>
      <w:hyperlink w:tooltip="#_Toc25" w:anchor="_Toc25" w:history="1">
        <w:r>
          <w:rPr>
            <w:rFonts w:ascii="Times New Roman" w:hAnsi="Times New Roman" w:eastAsia="Times New Roman" w:cs="Times New Roman"/>
          </w:rPr>
          <w:t xml:space="preserve">4.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ПОДАЧА ЗАЯВОК НА УЧАСТИЕ В 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16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rPr>
            <w:rFonts w:ascii="Times New Roman" w:hAnsi="Times New Roman" w:eastAsia="Times New Roman" w:cs="Times New Roman"/>
          </w:rPr>
          <w:t xml:space="preserve">4.1.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Порядок, место, дата начала и дата окончания срока подачи заявок на участие в </w:t>
        </w:r>
        <w:r>
          <w:rPr>
            <w:rStyle w:val="1446"/>
          </w:rPr>
          <w:t xml:space="preserve">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16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27" w:anchor="_Toc27" w:history="1">
        <w:r>
          <w:rPr>
            <w:rFonts w:ascii="Times New Roman" w:hAnsi="Times New Roman" w:eastAsia="Times New Roman" w:cs="Times New Roman"/>
          </w:rPr>
          <w:t xml:space="preserve">4.2.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Изменения и отзыв заявок на участие в </w:t>
        </w:r>
        <w:r>
          <w:rPr>
            <w:rStyle w:val="1446"/>
          </w:rPr>
          <w:t xml:space="preserve">закупке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16</w:t>
          <w:fldChar w:fldCharType="end"/>
        </w:r>
      </w:hyperlink>
      <w:r/>
      <w:r/>
    </w:p>
    <w:p>
      <w:pPr>
        <w:pStyle w:val="1416"/>
        <w:tabs>
          <w:tab w:val="left" w:pos="567" w:leader="none"/>
          <w:tab w:val="right" w:pos="10195" w:leader="dot"/>
        </w:tabs>
      </w:pPr>
      <w:r/>
      <w:hyperlink w:tooltip="#_Toc28" w:anchor="_Toc28" w:history="1">
        <w:r>
          <w:rPr>
            <w:rFonts w:ascii="Times New Roman" w:hAnsi="Times New Roman" w:eastAsia="Times New Roman" w:cs="Times New Roman"/>
          </w:rPr>
          <w:t xml:space="preserve">5.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ПОРЯДОК ПРОВЕДЕНИЯ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16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rPr>
            <w:rFonts w:ascii="Times New Roman" w:hAnsi="Times New Roman" w:eastAsia="Times New Roman" w:cs="Times New Roman"/>
          </w:rPr>
          <w:t xml:space="preserve">5.1.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Закупочная комиссия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16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rPr>
            <w:rFonts w:ascii="Times New Roman" w:hAnsi="Times New Roman" w:eastAsia="Times New Roman" w:cs="Times New Roman"/>
          </w:rPr>
          <w:t xml:space="preserve">5.2.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процедуре рассмотрения, оценки и сопоставления заявок участников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16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rPr>
            <w:rFonts w:ascii="Times New Roman" w:hAnsi="Times New Roman" w:eastAsia="Times New Roman" w:cs="Times New Roman"/>
          </w:rPr>
          <w:t xml:space="preserve">5.3.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Критерии оценки заявок участников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17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2" w:anchor="_Toc32" w:history="1">
        <w:r>
          <w:rPr>
            <w:rFonts w:ascii="Times New Roman" w:hAnsi="Times New Roman" w:eastAsia="Times New Roman" w:cs="Times New Roman"/>
          </w:rPr>
          <w:t xml:space="preserve">5.4.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Особенности осуществления рассмотрения общих частей заявок.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18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rPr>
            <w:rFonts w:ascii="Times New Roman" w:hAnsi="Times New Roman" w:eastAsia="Times New Roman" w:cs="Times New Roman"/>
          </w:rPr>
          <w:t xml:space="preserve">5.5.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Особенности осуществления рассмотрения и сопоставления ценовых предложений участников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18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rPr>
            <w:rFonts w:ascii="Times New Roman" w:hAnsi="Times New Roman" w:eastAsia="Times New Roman" w:cs="Times New Roman"/>
          </w:rPr>
          <w:t xml:space="preserve">5.6.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Переторж</w:t>
        </w:r>
        <w:r>
          <w:rPr>
            <w:rStyle w:val="1446"/>
          </w:rPr>
          <w:t xml:space="preserve">ка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19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rPr>
            <w:rFonts w:ascii="Times New Roman" w:hAnsi="Times New Roman" w:eastAsia="Times New Roman" w:cs="Times New Roman"/>
          </w:rPr>
          <w:t xml:space="preserve">5.7.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Подведение итогов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19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rPr>
            <w:rFonts w:ascii="Times New Roman" w:hAnsi="Times New Roman" w:eastAsia="Times New Roman" w:cs="Times New Roman"/>
          </w:rPr>
          <w:t xml:space="preserve">5.8.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Признание закупки несостоявшейся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20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rPr>
            <w:rFonts w:ascii="Times New Roman" w:hAnsi="Times New Roman" w:eastAsia="Times New Roman" w:cs="Times New Roman"/>
          </w:rPr>
          <w:t xml:space="preserve">5.9.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Рассмотрение жалоб и обращений участников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20</w:t>
          <w:fldChar w:fldCharType="end"/>
        </w:r>
      </w:hyperlink>
      <w:r/>
      <w:r/>
    </w:p>
    <w:p>
      <w:pPr>
        <w:pStyle w:val="1416"/>
        <w:tabs>
          <w:tab w:val="left" w:pos="567" w:leader="none"/>
          <w:tab w:val="right" w:pos="10195" w:leader="dot"/>
        </w:tabs>
      </w:pPr>
      <w:r/>
      <w:hyperlink w:tooltip="#_Toc38" w:anchor="_Toc38" w:history="1">
        <w:r>
          <w:rPr>
            <w:rFonts w:ascii="Times New Roman" w:hAnsi="Times New Roman" w:eastAsia="Times New Roman" w:cs="Times New Roman"/>
          </w:rPr>
          <w:t xml:space="preserve">6.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ЗАКЛЮЧЕНИЕ, ИЗМЕНЕНИЕ И РАСТОРЖЕНИЕ ДОГОВОРА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20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rPr>
            <w:rFonts w:ascii="Times New Roman" w:hAnsi="Times New Roman" w:eastAsia="Times New Roman" w:cs="Times New Roman"/>
          </w:rPr>
          <w:t xml:space="preserve">6.1.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Срок и порядок заключения договора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20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rPr>
            <w:rFonts w:ascii="Times New Roman" w:hAnsi="Times New Roman" w:eastAsia="Times New Roman" w:cs="Times New Roman"/>
          </w:rPr>
          <w:t xml:space="preserve">6.2.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22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  <w:rPr>
          <w:smallCaps/>
        </w:rPr>
      </w:pPr>
      <w:r/>
      <w:hyperlink w:tooltip="#_Toc41" w:anchor="_Toc41" w:history="1">
        <w:r>
          <w:rPr>
            <w:rFonts w:ascii="Times New Roman" w:hAnsi="Times New Roman" w:eastAsia="Times New Roman" w:cs="Times New Roman"/>
          </w:rPr>
          <w:t xml:space="preserve">6.3.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rPr>
            <w:rStyle w:val="1446"/>
            <w:smallCaps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23</w:t>
          <w:fldChar w:fldCharType="end"/>
        </w:r>
      </w:hyperlink>
      <w:r>
        <w:rPr>
          <w:smallCaps/>
        </w:rPr>
      </w:r>
      <w:r>
        <w:rPr>
          <w:smallCaps/>
        </w:rPr>
      </w:r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rPr>
            <w:rFonts w:ascii="Times New Roman" w:hAnsi="Times New Roman" w:eastAsia="Times New Roman" w:cs="Times New Roman"/>
          </w:rPr>
          <w:t xml:space="preserve">6.4.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Отказ от заключения договора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26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rPr>
            <w:rFonts w:ascii="Times New Roman" w:hAnsi="Times New Roman" w:eastAsia="Times New Roman" w:cs="Times New Roman"/>
          </w:rPr>
          <w:t xml:space="preserve">6.5.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Изменение и расторжение договора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27</w:t>
          <w:fldChar w:fldCharType="end"/>
        </w:r>
      </w:hyperlink>
      <w:r/>
      <w:r/>
    </w:p>
    <w:p>
      <w:pPr>
        <w:pStyle w:val="1417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rPr>
            <w:rFonts w:ascii="Times New Roman" w:hAnsi="Times New Roman" w:eastAsia="Times New Roman" w:cs="Times New Roman"/>
          </w:rPr>
          <w:t xml:space="preserve">6.6.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Закупка продукции с разбиением заказа на лоты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27</w:t>
          <w:fldChar w:fldCharType="end"/>
        </w:r>
      </w:hyperlink>
      <w:r/>
      <w:r/>
    </w:p>
    <w:p>
      <w:pPr>
        <w:pStyle w:val="1416"/>
        <w:tabs>
          <w:tab w:val="left" w:pos="567" w:leader="none"/>
          <w:tab w:val="right" w:pos="10195" w:leader="dot"/>
        </w:tabs>
        <w:rPr>
          <w:rStyle w:val="1397"/>
          <w:rFonts w:ascii="Times New Roman" w:hAnsi="Times New Roman" w:cs="Times New Roman"/>
        </w:rPr>
      </w:pPr>
      <w:r/>
      <w:hyperlink w:tooltip="#_Toc45" w:anchor="_Toc45" w:history="1">
        <w:r>
          <w:rPr>
            <w:rFonts w:ascii="Times New Roman" w:hAnsi="Times New Roman" w:eastAsia="Times New Roman" w:cs="Times New Roman"/>
          </w:rPr>
          <w:t xml:space="preserve">II.</w:t>
        </w:r>
        <w:r>
          <w:tab/>
        </w:r>
        <w:r>
          <w:rPr>
            <w:rStyle w:val="1446"/>
          </w:rPr>
        </w:r>
        <w:r>
          <w:rPr>
            <w:rStyle w:val="1446"/>
            <w:rFonts w:ascii="Times New Roman" w:hAnsi="Times New Roman" w:cs="Times New Roman"/>
          </w:rPr>
          <w:t xml:space="preserve">ИНФОРМАЦИОННАЯ КАРТА </w:t>
        </w:r>
        <w:r>
          <w:rPr>
            <w:rStyle w:val="1446"/>
            <w:rFonts w:ascii="Times New Roman" w:hAnsi="Times New Roman" w:cs="Times New Roman"/>
          </w:rPr>
          <w:t xml:space="preserve">ЗАКУПКИ</w:t>
        </w:r>
        <w:r>
          <w:rPr>
            <w:rStyle w:val="1446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29</w:t>
          <w:fldChar w:fldCharType="end"/>
        </w:r>
      </w:hyperlink>
      <w:r>
        <w:rPr>
          <w:rStyle w:val="1397"/>
          <w:rFonts w:ascii="Times New Roman" w:hAnsi="Times New Roman" w:cs="Times New Roman"/>
        </w:rPr>
      </w:r>
      <w:r>
        <w:rPr>
          <w:rStyle w:val="1397"/>
          <w:rFonts w:ascii="Times New Roman" w:hAnsi="Times New Roman" w:cs="Times New Roman"/>
        </w:rPr>
      </w:r>
    </w:p>
    <w:p>
      <w:pPr>
        <w:pStyle w:val="1416"/>
        <w:tabs>
          <w:tab w:val="left" w:pos="567" w:leader="none"/>
          <w:tab w:val="right" w:pos="10195" w:leader="dot"/>
        </w:tabs>
        <w:rPr>
          <w:rStyle w:val="1397"/>
          <w:rFonts w:ascii="Times New Roman" w:hAnsi="Times New Roman" w:cs="Times New Roman"/>
        </w:rPr>
      </w:pPr>
      <w:r/>
      <w:hyperlink w:tooltip="#_Toc46" w:anchor="_Toc46" w:history="1">
        <w:r>
          <w:rPr>
            <w:rFonts w:ascii="Times New Roman" w:hAnsi="Times New Roman" w:eastAsia="Times New Roman" w:cs="Times New Roman"/>
          </w:rPr>
          <w:t xml:space="preserve">III.</w:t>
        </w:r>
        <w:r>
          <w:tab/>
        </w:r>
        <w:r>
          <w:rPr>
            <w:rStyle w:val="1446"/>
          </w:rPr>
        </w:r>
        <w:r>
          <w:rPr>
            <w:rStyle w:val="1446"/>
            <w:rFonts w:ascii="Times New Roman" w:hAnsi="Times New Roman" w:cs="Times New Roman"/>
          </w:rPr>
          <w:t xml:space="preserve">ОБРАЗЦЫ ФОРМ ДЛЯ ЗАПОЛНЕНИЯ УЧАСТНИКАМИ ЗАКУПКИ</w:t>
        </w:r>
        <w:r>
          <w:rPr>
            <w:rStyle w:val="1446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>
        <w:rPr>
          <w:rStyle w:val="1397"/>
          <w:rFonts w:ascii="Times New Roman" w:hAnsi="Times New Roman" w:cs="Times New Roman"/>
        </w:rPr>
      </w:r>
      <w:r>
        <w:rPr>
          <w:rStyle w:val="1397"/>
          <w:rFonts w:ascii="Times New Roman" w:hAnsi="Times New Roman" w:cs="Times New Roman"/>
        </w:rPr>
      </w:r>
    </w:p>
    <w:p>
      <w:pPr>
        <w:pStyle w:val="1417"/>
        <w:tabs>
          <w:tab w:val="right" w:pos="10195" w:leader="dot"/>
        </w:tabs>
      </w:pPr>
      <w:r/>
      <w:hyperlink w:tooltip="#_Toc47" w:anchor="_Toc47" w:history="1">
        <w:r>
          <w:rPr>
            <w:rStyle w:val="1446"/>
          </w:rPr>
        </w:r>
        <w:r>
          <w:rPr>
            <w:rStyle w:val="1446"/>
          </w:rPr>
          <w:t xml:space="preserve">ФОРМА ТЕХНИЧЕСКОЕ ПРЕДЛОЖЕНИЕ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  <w:r/>
    </w:p>
    <w:p>
      <w:pPr>
        <w:pStyle w:val="1417"/>
        <w:tabs>
          <w:tab w:val="right" w:pos="10195" w:leader="dot"/>
        </w:tabs>
      </w:pPr>
      <w:r/>
      <w:hyperlink w:tooltip="#_Toc48" w:anchor="_Toc48" w:history="1">
        <w:r>
          <w:rPr>
            <w:rStyle w:val="1446"/>
          </w:rPr>
        </w:r>
        <w:r>
          <w:rPr>
            <w:rStyle w:val="1446"/>
          </w:rPr>
          <w:t xml:space="preserve">ФОРМА ПИСЬМО О ПОДАЧЕ ОФЕРТЫ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50</w:t>
          <w:fldChar w:fldCharType="end"/>
        </w:r>
      </w:hyperlink>
      <w:r/>
      <w:r/>
    </w:p>
    <w:p>
      <w:pPr>
        <w:pStyle w:val="1417"/>
        <w:tabs>
          <w:tab w:val="right" w:pos="10195" w:leader="dot"/>
        </w:tabs>
      </w:pPr>
      <w:r/>
      <w:hyperlink w:tooltip="#_Toc49" w:anchor="_Toc49" w:history="1">
        <w:r>
          <w:rPr>
            <w:rStyle w:val="1446"/>
          </w:rPr>
        </w:r>
        <w:r>
          <w:rPr>
            <w:rStyle w:val="1446"/>
          </w:rPr>
  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53</w:t>
          <w:fldChar w:fldCharType="end"/>
        </w:r>
      </w:hyperlink>
      <w:r/>
      <w:r/>
    </w:p>
    <w:p>
      <w:pPr>
        <w:pStyle w:val="1417"/>
        <w:tabs>
          <w:tab w:val="right" w:pos="10195" w:leader="dot"/>
        </w:tabs>
      </w:pPr>
      <w:r/>
      <w:hyperlink w:tooltip="#_Toc50" w:anchor="_Toc50" w:history="1">
        <w:r>
          <w:rPr>
            <w:rStyle w:val="1446"/>
          </w:rPr>
        </w:r>
        <w:r>
          <w:rPr>
            <w:rStyle w:val="1446"/>
          </w:rPr>
          <w:t xml:space="preserve">ФОРМА АНКЕТА УЧАСТНИКА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55</w:t>
          <w:fldChar w:fldCharType="end"/>
        </w:r>
      </w:hyperlink>
      <w:r/>
      <w:r/>
    </w:p>
    <w:p>
      <w:pPr>
        <w:pStyle w:val="1417"/>
        <w:tabs>
          <w:tab w:val="right" w:pos="10195" w:leader="dot"/>
        </w:tabs>
      </w:pPr>
      <w:r/>
      <w:hyperlink w:tooltip="#_Toc51" w:anchor="_Toc51" w:history="1">
        <w:r>
          <w:rPr>
            <w:rStyle w:val="1446"/>
          </w:rPr>
        </w:r>
        <w:r>
          <w:rPr>
            <w:rStyle w:val="1446"/>
          </w:rPr>
  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59</w:t>
          <w:fldChar w:fldCharType="end"/>
        </w:r>
      </w:hyperlink>
      <w:r/>
      <w:r/>
    </w:p>
    <w:p>
      <w:pPr>
        <w:pStyle w:val="1417"/>
        <w:tabs>
          <w:tab w:val="right" w:pos="10195" w:leader="dot"/>
        </w:tabs>
      </w:pPr>
      <w:r/>
      <w:hyperlink w:tooltip="#_Toc52" w:anchor="_Toc52" w:history="1">
        <w:r>
          <w:rPr>
            <w:rStyle w:val="1446"/>
          </w:rPr>
        </w:r>
        <w:r>
          <w:rPr>
            <w:rStyle w:val="1446"/>
          </w:rPr>
          <w:t xml:space="preserve">ФОРМА СПРАВКА (ИНФОРМАЦИЯ) О СОБСТВЕННИКАХ УЧАСТНИКА ЗАКУПКИ (ВКЛЮЧАЯ КОНЕЧНЫХ БЕНЕФИЦИАРОВ)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  <w:r/>
    </w:p>
    <w:p>
      <w:pPr>
        <w:pStyle w:val="1417"/>
        <w:tabs>
          <w:tab w:val="right" w:pos="10195" w:leader="dot"/>
        </w:tabs>
      </w:pPr>
      <w:r/>
      <w:hyperlink w:tooltip="#_Toc53" w:anchor="_Toc53" w:history="1">
        <w:r>
          <w:rPr>
            <w:rStyle w:val="1446"/>
          </w:rPr>
        </w:r>
        <w:r>
          <w:rPr>
            <w:rStyle w:val="1446"/>
          </w:rPr>
          <w:t xml:space="preserve">ФОРМА СОГЛАСИЕ НА ОБРАБОТКУ ПЕРСОНАЛЬНЫХ ДАННЫХ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65</w:t>
          <w:fldChar w:fldCharType="end"/>
        </w:r>
      </w:hyperlink>
      <w:r/>
      <w:r/>
    </w:p>
    <w:p>
      <w:pPr>
        <w:pStyle w:val="1417"/>
        <w:tabs>
          <w:tab w:val="right" w:pos="10195" w:leader="dot"/>
        </w:tabs>
      </w:pPr>
      <w:r/>
      <w:hyperlink w:tooltip="#_Toc54" w:anchor="_Toc54" w:history="1">
        <w:r>
          <w:rPr>
            <w:rStyle w:val="1446"/>
          </w:rPr>
        </w:r>
        <w:r>
          <w:rPr>
            <w:rStyle w:val="1446"/>
          </w:rPr>
          <w:t xml:space="preserve">ФОРМА АНТИКОРРУПЦИОННЫЕ ОБЯЗАТЕЛЬСТВА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67</w:t>
          <w:fldChar w:fldCharType="end"/>
        </w:r>
      </w:hyperlink>
      <w:r/>
      <w:r/>
    </w:p>
    <w:p>
      <w:pPr>
        <w:pStyle w:val="1417"/>
        <w:tabs>
          <w:tab w:val="right" w:pos="10195" w:leader="dot"/>
        </w:tabs>
        <w:rPr>
          <w:highlight w:val="none"/>
        </w:rPr>
      </w:pPr>
      <w:r/>
      <w:hyperlink w:tooltip="#_Toc55" w:anchor="_Toc55" w:history="1">
        <w:r>
          <w:rPr>
            <w:rStyle w:val="1446"/>
          </w:rPr>
        </w:r>
        <w:r>
          <w:rPr>
            <w:rStyle w:val="1446"/>
            <w:highlight w:val="none"/>
          </w:rPr>
          <w:t xml:space="preserve">ФОРМА СПРАВКА О ПЕРЕЧНЕ И ОБЪЕМАХ ВЫПОЛНЕНИЯ АНАЛОГИЧНЫХ ДОГОВОРОВ</w:t>
        </w:r>
        <w:r>
          <w:rPr>
            <w:rStyle w:val="1446"/>
            <w:highlight w:val="none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70</w:t>
          <w:fldChar w:fldCharType="end"/>
        </w:r>
      </w:hyperlink>
      <w:r>
        <w:rPr>
          <w:highlight w:val="none"/>
        </w:rPr>
      </w:r>
      <w:r>
        <w:rPr>
          <w:highlight w:val="none"/>
        </w:rPr>
      </w:r>
    </w:p>
    <w:p>
      <w:pPr>
        <w:pStyle w:val="1417"/>
        <w:tabs>
          <w:tab w:val="right" w:pos="10195" w:leader="dot"/>
        </w:tabs>
        <w:rPr>
          <w:rFonts w:eastAsiaTheme="majorEastAsia"/>
          <w:highlight w:val="none"/>
        </w:rPr>
      </w:pPr>
      <w:r/>
      <w:hyperlink w:tooltip="#_Toc56" w:anchor="_Toc56" w:history="1">
        <w:r>
          <w:rPr>
            <w:rStyle w:val="1446"/>
          </w:rPr>
        </w:r>
        <w:r>
          <w:rPr>
            <w:rStyle w:val="1446"/>
            <w:highlight w:val="none"/>
          </w:rPr>
          <w:t xml:space="preserve">ФОРМА КОММЕРЧЕСКОЕ П</w:t>
        </w:r>
        <w:r>
          <w:rPr>
            <w:rStyle w:val="1446"/>
            <w:highlight w:val="none"/>
          </w:rPr>
          <w:t xml:space="preserve">РЕДЛОЖЕНИЕ</w:t>
        </w:r>
        <w:r>
          <w:rPr>
            <w:rStyle w:val="1446"/>
            <w:rFonts w:eastAsiaTheme="majorEastAsia"/>
            <w:highlight w:val="none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72</w:t>
          <w:fldChar w:fldCharType="end"/>
        </w:r>
      </w:hyperlink>
      <w:r>
        <w:rPr>
          <w:rFonts w:eastAsiaTheme="majorEastAsia"/>
          <w:highlight w:val="none"/>
        </w:rPr>
      </w:r>
      <w:r>
        <w:rPr>
          <w:rFonts w:eastAsiaTheme="majorEastAsia"/>
          <w:highlight w:val="none"/>
        </w:rPr>
      </w:r>
    </w:p>
    <w:p>
      <w:pPr>
        <w:pStyle w:val="1416"/>
        <w:tabs>
          <w:tab w:val="left" w:pos="567" w:leader="none"/>
          <w:tab w:val="right" w:pos="10195" w:leader="dot"/>
        </w:tabs>
        <w:rPr>
          <w:rStyle w:val="1397"/>
          <w:rFonts w:ascii="Times New Roman" w:hAnsi="Times New Roman" w:cs="Times New Roman"/>
          <w:caps/>
        </w:rPr>
      </w:pPr>
      <w:r/>
      <w:hyperlink w:tooltip="#_Toc57" w:anchor="_Toc57" w:history="1">
        <w:r>
          <w:rPr>
            <w:rFonts w:ascii="Times New Roman" w:hAnsi="Times New Roman" w:eastAsia="Times New Roman" w:cs="Times New Roman"/>
          </w:rPr>
          <w:t xml:space="preserve">IV.</w:t>
        </w:r>
        <w:r>
          <w:tab/>
        </w:r>
        <w:r>
          <w:rPr>
            <w:rStyle w:val="1446"/>
          </w:rPr>
        </w:r>
        <w:r>
          <w:rPr>
            <w:rStyle w:val="1446"/>
            <w:rFonts w:ascii="Times New Roman" w:hAnsi="Times New Roman" w:cs="Times New Roman"/>
            <w:caps/>
          </w:rPr>
          <w:t xml:space="preserve">ПРОЕКТ ДОГОВОРА</w:t>
        </w:r>
        <w:r>
          <w:rPr>
            <w:rStyle w:val="1446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73</w:t>
          <w:fldChar w:fldCharType="end"/>
        </w:r>
      </w:hyperlink>
      <w:r>
        <w:rPr>
          <w:rStyle w:val="1397"/>
          <w:rFonts w:ascii="Times New Roman" w:hAnsi="Times New Roman" w:cs="Times New Roman"/>
          <w:caps/>
        </w:rPr>
      </w:r>
      <w:r>
        <w:rPr>
          <w:rStyle w:val="1397"/>
          <w:rFonts w:ascii="Times New Roman" w:hAnsi="Times New Roman" w:cs="Times New Roman"/>
          <w:caps/>
        </w:rPr>
      </w:r>
    </w:p>
    <w:p>
      <w:pPr>
        <w:pStyle w:val="1416"/>
        <w:tabs>
          <w:tab w:val="left" w:pos="567" w:leader="none"/>
          <w:tab w:val="right" w:pos="10195" w:leader="dot"/>
        </w:tabs>
        <w:rPr>
          <w:rStyle w:val="1397"/>
          <w:rFonts w:ascii="Times New Roman" w:hAnsi="Times New Roman" w:cs="Times New Roman"/>
        </w:rPr>
      </w:pPr>
      <w:r/>
      <w:hyperlink w:tooltip="#_Toc58" w:anchor="_Toc58" w:history="1">
        <w:r>
          <w:rPr>
            <w:rFonts w:ascii="Times New Roman" w:hAnsi="Times New Roman" w:eastAsia="Times New Roman" w:cs="Times New Roman"/>
          </w:rPr>
          <w:t xml:space="preserve">V.</w:t>
        </w:r>
        <w:r>
          <w:tab/>
        </w:r>
        <w:r>
          <w:rPr>
            <w:rStyle w:val="1446"/>
          </w:rPr>
        </w:r>
        <w:r>
          <w:rPr>
            <w:rStyle w:val="1446"/>
            <w:rFonts w:ascii="Times New Roman" w:hAnsi="Times New Roman" w:cs="Times New Roman"/>
          </w:rPr>
          <w:t xml:space="preserve">ТЕХНИЧЕСКАЯ ЧАСТЬ</w:t>
        </w:r>
        <w:r>
          <w:rPr>
            <w:rStyle w:val="1446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74</w:t>
          <w:fldChar w:fldCharType="end"/>
        </w:r>
      </w:hyperlink>
      <w:r>
        <w:rPr>
          <w:rStyle w:val="1397"/>
          <w:rFonts w:ascii="Times New Roman" w:hAnsi="Times New Roman" w:cs="Times New Roman"/>
        </w:rPr>
      </w:r>
      <w:r>
        <w:rPr>
          <w:rStyle w:val="1397"/>
          <w:rFonts w:ascii="Times New Roman" w:hAnsi="Times New Roman" w:cs="Times New Roman"/>
        </w:rPr>
      </w:r>
    </w:p>
    <w:p>
      <w:pPr>
        <w:pStyle w:val="1416"/>
        <w:tabs>
          <w:tab w:val="left" w:pos="567" w:leader="none"/>
          <w:tab w:val="right" w:pos="10195" w:leader="dot"/>
        </w:tabs>
        <w:rPr>
          <w:rStyle w:val="1397"/>
          <w:rFonts w:ascii="Times New Roman" w:hAnsi="Times New Roman" w:cs="Times New Roman"/>
        </w:rPr>
      </w:pPr>
      <w:r/>
      <w:hyperlink w:tooltip="#_Toc59" w:anchor="_Toc59" w:history="1">
        <w:r>
          <w:rPr>
            <w:rFonts w:ascii="Times New Roman" w:hAnsi="Times New Roman" w:eastAsia="Times New Roman" w:cs="Times New Roman"/>
          </w:rPr>
          <w:t xml:space="preserve">VI.</w:t>
        </w:r>
        <w:r>
          <w:tab/>
        </w:r>
        <w:r>
          <w:rPr>
            <w:rStyle w:val="1446"/>
          </w:rPr>
        </w:r>
        <w:r>
          <w:rPr>
            <w:rStyle w:val="1446"/>
            <w:rFonts w:ascii="Times New Roman" w:hAnsi="Times New Roman" w:cs="Times New Roman"/>
          </w:rPr>
          <w:t xml:space="preserve">ОБОСНОВАНИЕ НМЦ</w:t>
        </w:r>
        <w:r>
          <w:rPr>
            <w:rStyle w:val="1446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75</w:t>
          <w:fldChar w:fldCharType="end"/>
        </w:r>
      </w:hyperlink>
      <w:r>
        <w:rPr>
          <w:rStyle w:val="1397"/>
          <w:rFonts w:ascii="Times New Roman" w:hAnsi="Times New Roman" w:cs="Times New Roman"/>
        </w:rPr>
      </w:r>
      <w:r>
        <w:rPr>
          <w:rStyle w:val="1397"/>
          <w:rFonts w:ascii="Times New Roman" w:hAnsi="Times New Roman" w:cs="Times New Roman"/>
        </w:rPr>
      </w:r>
    </w:p>
    <w:p>
      <w:pPr>
        <w:pStyle w:val="1416"/>
        <w:tabs>
          <w:tab w:val="left" w:pos="850" w:leader="none"/>
          <w:tab w:val="right" w:pos="10195" w:leader="dot"/>
        </w:tabs>
      </w:pPr>
      <w:r/>
      <w:hyperlink w:tooltip="#_Toc60" w:anchor="_Toc60" w:history="1">
        <w:r>
          <w:rPr>
            <w:rFonts w:ascii="Times New Roman" w:hAnsi="Times New Roman" w:eastAsia="Times New Roman" w:cs="Times New Roman"/>
          </w:rPr>
          <w:t xml:space="preserve">VII.</w:t>
        </w:r>
        <w:r>
          <w:tab/>
        </w:r>
        <w:r>
          <w:rPr>
            <w:rStyle w:val="1446"/>
          </w:rPr>
        </w:r>
        <w:r>
          <w:rPr>
            <w:rStyle w:val="1446"/>
          </w:rPr>
          <w:t xml:space="preserve">ТИПОВ</w:t>
        </w:r>
        <w:r>
          <w:rPr>
            <w:rStyle w:val="1446"/>
            <w:rFonts w:eastAsiaTheme="majorEastAsia"/>
          </w:rPr>
          <w:t xml:space="preserve">ЫЕ</w:t>
        </w:r>
        <w:r>
          <w:rPr>
            <w:rStyle w:val="1446"/>
          </w:rPr>
          <w:t xml:space="preserve"> ФОРМ</w:t>
        </w:r>
        <w:r>
          <w:rPr>
            <w:rStyle w:val="1446"/>
            <w:rFonts w:eastAsiaTheme="majorEastAsia"/>
          </w:rPr>
          <w:t xml:space="preserve">Ы</w:t>
        </w:r>
        <w:r>
          <w:rPr>
            <w:rStyle w:val="1446"/>
          </w:rPr>
          <w:t xml:space="preserve"> НЕЗАВИСИМ</w:t>
        </w:r>
        <w:r>
          <w:rPr>
            <w:rStyle w:val="1446"/>
            <w:rFonts w:eastAsiaTheme="majorEastAsia"/>
          </w:rPr>
          <w:t xml:space="preserve">ЫХ ГАРАНТИЙ</w:t>
        </w:r>
        <w:r>
          <w:rPr>
            <w:rStyle w:val="1446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76</w:t>
          <w:fldChar w:fldCharType="end"/>
        </w:r>
      </w:hyperlink>
      <w:r/>
      <w:r/>
    </w:p>
    <w:p>
      <w:pPr>
        <w:pStyle w:val="1416"/>
        <w:tabs>
          <w:tab w:val="left" w:pos="850" w:leader="none"/>
        </w:tabs>
        <w:rPr>
          <w:b w:val="0"/>
          <w:bCs/>
          <w:i/>
          <w:smallCaps/>
          <w:sz w:val="24"/>
          <w:szCs w:val="24"/>
        </w:rPr>
      </w:pPr>
      <w:r>
        <w:rPr>
          <w:i/>
          <w:iCs/>
          <w:smallCaps/>
          <w:sz w:val="24"/>
          <w:szCs w:val="24"/>
        </w:rPr>
      </w:r>
      <w:r>
        <w:rPr>
          <w:b w:val="0"/>
          <w:bCs w:val="0"/>
          <w:i/>
          <w:iCs/>
          <w:smallCaps/>
          <w:sz w:val="24"/>
          <w:szCs w:val="24"/>
        </w:rPr>
        <w:fldChar w:fldCharType="end"/>
      </w:r>
      <w:r>
        <w:rPr>
          <w:b w:val="0"/>
          <w:bCs/>
          <w:i/>
          <w:smallCaps/>
          <w:sz w:val="24"/>
          <w:szCs w:val="24"/>
        </w:rPr>
      </w:r>
    </w:p>
    <w:p>
      <w:pPr>
        <w:shd w:val="nil" w:color="auto"/>
      </w:pPr>
      <w:r>
        <w:br w:type="page" w:clear="all"/>
      </w:r>
      <w:r/>
    </w:p>
    <w:p>
      <w:r/>
      <w:r/>
    </w:p>
    <w:p>
      <w:pPr>
        <w:pStyle w:val="1226"/>
        <w:numPr>
          <w:ilvl w:val="0"/>
          <w:numId w:val="4"/>
        </w:numPr>
        <w:ind w:left="0" w:firstLine="567"/>
        <w:keepNext w:val="0"/>
        <w:spacing w:before="0" w:after="0"/>
        <w:rPr>
          <w:rStyle w:val="1397"/>
          <w:b w:val="0"/>
          <w:bCs w:val="0"/>
          <w:caps/>
          <w:sz w:val="28"/>
          <w:szCs w:val="28"/>
        </w:rPr>
      </w:pPr>
      <w:r/>
      <w:bookmarkStart w:id="212" w:name="_Toc2"/>
      <w:r/>
      <w:bookmarkStart w:id="1" w:name="_I._ОБЩИЕ_У"/>
      <w:r/>
      <w:bookmarkStart w:id="2" w:name="_ОБЩИЕ_УСЛОВИЯ_ПРОВЕДЕНИЯ"/>
      <w:r/>
      <w:bookmarkStart w:id="3" w:name="_Ref166642713"/>
      <w:r/>
      <w:bookmarkEnd w:id="1"/>
      <w:r/>
      <w:bookmarkEnd w:id="2"/>
      <w:r>
        <w:rPr>
          <w:rStyle w:val="1397"/>
          <w:rFonts w:ascii="Times New Roman" w:hAnsi="Times New Roman" w:cs="Times New Roman"/>
          <w:caps/>
          <w:color w:val="auto"/>
          <w:sz w:val="28"/>
          <w:szCs w:val="28"/>
        </w:rPr>
        <w:t xml:space="preserve">ОБЩИЕ УСЛОВИЯ ПРОВЕДЕНИЯ ЗАКУПКИ</w:t>
      </w:r>
      <w:bookmarkEnd w:id="3"/>
      <w:r/>
      <w:bookmarkEnd w:id="212"/>
      <w:r>
        <w:rPr>
          <w:rStyle w:val="1397"/>
          <w:b w:val="0"/>
          <w:bCs w:val="0"/>
          <w:caps/>
          <w:sz w:val="28"/>
          <w:szCs w:val="28"/>
        </w:rPr>
      </w:r>
      <w:r>
        <w:rPr>
          <w:rStyle w:val="1397"/>
          <w:b w:val="0"/>
          <w:bCs w:val="0"/>
          <w:caps/>
          <w:sz w:val="28"/>
          <w:szCs w:val="28"/>
        </w:rPr>
      </w:r>
    </w:p>
    <w:p>
      <w:r/>
      <w:r/>
    </w:p>
    <w:p>
      <w:pPr>
        <w:pStyle w:val="122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13" w:name="_Toc3"/>
      <w:r/>
      <w:bookmarkStart w:id="5" w:name="_ОБЩИЕ_ПОЛОЖЕНИЯ"/>
      <w:r/>
      <w:bookmarkStart w:id="6" w:name="_Ref166101247"/>
      <w:r/>
      <w:bookmarkStart w:id="7" w:name="_Ref166101251"/>
      <w:r/>
      <w:bookmarkEnd w:id="5"/>
      <w:r>
        <w:rPr>
          <w:sz w:val="24"/>
          <w:szCs w:val="24"/>
        </w:rPr>
        <w:t xml:space="preserve">ОБЩИЕ ПОЛОЖЕНИЯ</w:t>
      </w:r>
      <w:bookmarkEnd w:id="6"/>
      <w:r/>
      <w:bookmarkEnd w:id="7"/>
      <w:r/>
      <w:bookmarkEnd w:id="2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4" w:name="_Toc4"/>
      <w:r>
        <w:rPr>
          <w:sz w:val="24"/>
          <w:szCs w:val="24"/>
        </w:rPr>
        <w:t xml:space="preserve">Правовой статус документов</w:t>
      </w:r>
      <w:bookmarkEnd w:id="2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19427085"/>
      <w:r/>
      <w:bookmarkStart w:id="11" w:name="_Ref11225299"/>
      <w:r>
        <w:rPr>
          <w:rFonts w:ascii="Times New Roman" w:hAnsi="Times New Roman" w:cs="Times New Roman"/>
          <w:b w:val="0"/>
          <w:bCs w:val="0"/>
        </w:rPr>
        <w:t xml:space="preserve">Настоящая документация о закупке подготовлена в соответствии </w:t>
      </w:r>
      <w:bookmarkEnd w:id="10"/>
      <w:r>
        <w:rPr>
          <w:rFonts w:ascii="Times New Roman" w:hAnsi="Times New Roman" w:cs="Times New Roman"/>
          <w:b w:val="0"/>
          <w:bCs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Закон 2</w:t>
      </w:r>
      <w:r>
        <w:rPr>
          <w:rFonts w:ascii="Times New Roman" w:hAnsi="Times New Roman" w:cs="Times New Roman"/>
          <w:b w:val="0"/>
          <w:bCs w:val="0"/>
        </w:rPr>
        <w:t xml:space="preserve">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3" w:tooltip="https://zakupki.gov.ru/epz/orderclause/card/common-info.html?orderClauseInfoId=967865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Единого стандарта закупок ПАО«Россети»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</w:t>
      </w:r>
      <w:r>
        <w:rPr>
          <w:rFonts w:ascii="Times New Roman" w:hAnsi="Times New Roman" w:cs="Times New Roman"/>
          <w:b w:val="0"/>
          <w:bCs w:val="0"/>
        </w:rPr>
        <w:t xml:space="preserve">твующей на дату официального размещения извещения).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</w:t>
      </w:r>
      <w:r>
        <w:rPr>
          <w:rFonts w:ascii="Times New Roman" w:hAnsi="Times New Roman" w:cs="Times New Roman"/>
          <w:b w:val="0"/>
          <w:bCs w:val="0"/>
        </w:rPr>
        <w:t xml:space="preserve">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Извещение о закупке и настоящая документация о закупке, размещенные Заказчиком в Единой информационной системе</w:t>
      </w:r>
      <w:r>
        <w:rPr>
          <w:rFonts w:ascii="Times New Roman" w:hAnsi="Times New Roman" w:cs="Times New Roman"/>
          <w:b w:val="0"/>
          <w:bCs w:val="0"/>
        </w:rPr>
        <w:t xml:space="preserve"> в сфере закупок товаров, работ,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</w:t>
      </w:r>
      <w:r>
        <w:rPr>
          <w:rFonts w:ascii="Times New Roman" w:hAnsi="Times New Roman" w:cs="Times New Roman"/>
          <w:b w:val="0"/>
          <w:bCs w:val="0"/>
        </w:rPr>
        <w:t xml:space="preserve">енного для проведения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конкурентной закупке (далее – заявка, заявка участника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</w:t>
      </w:r>
      <w:r>
        <w:rPr>
          <w:rFonts w:ascii="Times New Roman" w:hAnsi="Times New Roman" w:cs="Times New Roman"/>
          <w:b w:val="0"/>
          <w:bCs w:val="0"/>
        </w:rPr>
        <w:t xml:space="preserve">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r:id="rId15" w:tooltip="https://zakupki.gov.ru/epz/orderclause/card/common-info.html?orderClauseInfoId=829138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</w:t>
      </w:r>
      <w:r>
        <w:rPr>
          <w:rFonts w:ascii="Times New Roman" w:hAnsi="Times New Roman" w:cs="Times New Roman"/>
          <w:b w:val="0"/>
          <w:bCs w:val="0"/>
        </w:rPr>
        <w:t xml:space="preserve">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5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2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если рядом с такой ссылкой не указано иного), проводит закупку, предмет и услови</w:t>
      </w:r>
      <w:r>
        <w:rPr>
          <w:rFonts w:ascii="Times New Roman" w:hAnsi="Times New Roman" w:cs="Times New Roman"/>
          <w:b w:val="0"/>
          <w:bCs w:val="0"/>
        </w:rPr>
        <w:t xml:space="preserve">я которой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настоящей документации о закупке.</w:t>
      </w:r>
      <w:bookmarkEnd w:id="1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</w:t>
      </w:r>
      <w:r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</w:t>
      </w:r>
      <w:r>
        <w:rPr>
          <w:rFonts w:ascii="Times New Roman" w:hAnsi="Times New Roman" w:cs="Times New Roman"/>
          <w:b w:val="0"/>
          <w:bCs w:val="0"/>
        </w:rPr>
        <w:t xml:space="preserve">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</w:t>
      </w:r>
      <w:r>
        <w:rPr>
          <w:rFonts w:ascii="Times New Roman" w:hAnsi="Times New Roman" w:cs="Times New Roman"/>
          <w:b w:val="0"/>
          <w:bCs w:val="0"/>
        </w:rPr>
        <w:t xml:space="preserve">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6" w:name="_Toc6"/>
      <w:r>
        <w:rPr>
          <w:sz w:val="24"/>
          <w:szCs w:val="24"/>
        </w:rPr>
        <w:t xml:space="preserve">Начальная (максимальная) цена договора (цена лота) </w:t>
      </w:r>
      <w:bookmarkEnd w:id="2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</w:t>
      </w:r>
      <w:r>
        <w:rPr>
          <w:rFonts w:ascii="Times New Roman" w:hAnsi="Times New Roman" w:cs="Times New Roman"/>
          <w:b w:val="0"/>
        </w:rPr>
        <w:t xml:space="preserve">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максимального значения цены договора, либо цены единицы товара, работы, услуги и максимальное значен</w:t>
      </w:r>
      <w:r>
        <w:rPr>
          <w:rFonts w:ascii="Times New Roman" w:hAnsi="Times New Roman" w:cs="Times New Roman"/>
          <w:b w:val="0"/>
        </w:rPr>
        <w:t xml:space="preserve">ие цены договора. 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</w:t>
      </w:r>
      <w:r>
        <w:rPr>
          <w:rFonts w:ascii="Times New Roman" w:hAnsi="Times New Roman" w:cs="Times New Roman"/>
          <w:b w:val="0"/>
        </w:rPr>
        <w:t xml:space="preserve"> указание начальных максимальных цен отдельных договоров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Начальная (максимальная) цена каждого товара, работы, услуги, являющихся предметом закупки, составляет значения, указанные в </w:t>
      </w:r>
      <w:hyperlink w:tooltip="#_Приложение_№_2" w:anchor="_Приложение_2" w:history="1">
        <w:r>
          <w:rPr>
            <w:rStyle w:val="1446"/>
            <w:rFonts w:ascii="Times New Roman" w:hAnsi="Times New Roman" w:cs="Times New Roman"/>
            <w:b w:val="0"/>
          </w:rPr>
          <w:t xml:space="preserve">Приложении № 2 к ча</w:t>
        </w:r>
        <w:r>
          <w:rPr>
            <w:rStyle w:val="1446"/>
            <w:rFonts w:ascii="Times New Roman" w:hAnsi="Times New Roman" w:cs="Times New Roman"/>
            <w:b w:val="0"/>
          </w:rPr>
          <w:t xml:space="preserve">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17" w:name="_Toc7"/>
      <w:r/>
      <w:bookmarkStart w:id="15" w:name="_1.4._Требо"/>
      <w:r/>
      <w:bookmarkStart w:id="16" w:name="_Требования_к_участникам"/>
      <w:r/>
      <w:bookmarkEnd w:id="15"/>
      <w:r/>
      <w:bookmarkEnd w:id="16"/>
      <w:r>
        <w:rPr>
          <w:sz w:val="24"/>
          <w:szCs w:val="24"/>
        </w:rPr>
        <w:t xml:space="preserve">Требования к участникам закупки</w:t>
      </w:r>
      <w:bookmarkEnd w:id="2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81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rFonts w:eastAsiaTheme="minorHAnsi"/>
          <w:sz w:val="24"/>
          <w:szCs w:val="24"/>
          <w:lang w:eastAsia="en-US"/>
        </w:rPr>
      </w:pPr>
      <w:r>
        <w:rPr>
          <w:b/>
          <w:bCs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</w:t>
      </w:r>
      <w:r>
        <w:rPr>
          <w:rFonts w:eastAsiaTheme="minorHAnsi"/>
          <w:sz w:val="24"/>
          <w:szCs w:val="24"/>
          <w:lang w:eastAsia="en-US"/>
        </w:rPr>
        <w:t xml:space="preserve">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</w:t>
      </w:r>
      <w:r>
        <w:rPr>
          <w:rFonts w:eastAsiaTheme="minorHAnsi"/>
          <w:sz w:val="24"/>
          <w:szCs w:val="24"/>
          <w:lang w:eastAsia="en-US"/>
        </w:rPr>
        <w:t xml:space="preserve">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Style w:val="1446"/>
            <w:rFonts w:eastAsiaTheme="minorHAnsi"/>
            <w:sz w:val="24"/>
            <w:szCs w:val="24"/>
            <w:lang w:eastAsia="en-US"/>
          </w:rPr>
          <w:t xml:space="preserve">Федеральным законом от 14 и</w:t>
        </w:r>
        <w:r>
          <w:rPr>
            <w:rStyle w:val="1446"/>
            <w:rFonts w:eastAsiaTheme="minorHAnsi"/>
            <w:sz w:val="24"/>
            <w:szCs w:val="24"/>
            <w:lang w:eastAsia="en-US"/>
          </w:rPr>
          <w:t xml:space="preserve">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sz w:val="24"/>
          <w:szCs w:val="24"/>
          <w:lang w:eastAsia="en-US"/>
        </w:rPr>
        <w:t xml:space="preserve">, если иное не предусмотрено законодательством Российской Федерации;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1581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b/>
          <w:bCs/>
        </w:rPr>
      </w:pPr>
      <w:r>
        <w:rPr>
          <w:sz w:val="24"/>
          <w:szCs w:val="24"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</w:t>
      </w:r>
      <w:r>
        <w:rPr>
          <w:sz w:val="24"/>
          <w:szCs w:val="24"/>
        </w:rPr>
        <w:t xml:space="preserve">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</w:t>
      </w:r>
      <w:hyperlink r:id="rId17" w:tooltip="https://www.consultant.ru/document/cons_doc_LAW_421788/?ysclid=lh7gd9qdev457426157" w:history="1">
        <w:r>
          <w:rPr>
            <w:rStyle w:val="1446"/>
            <w:sz w:val="24"/>
            <w:szCs w:val="24"/>
          </w:rPr>
          <w:t xml:space="preserve">Федеральным законом от 14 июля 2022 года № 255-ФЗ «О контроле за деятельностью лиц, находящихся под иностранн</w:t>
        </w:r>
        <w:r>
          <w:rPr>
            <w:rStyle w:val="1446"/>
            <w:sz w:val="24"/>
            <w:szCs w:val="24"/>
          </w:rPr>
          <w:t xml:space="preserve">ым влиянием»</w:t>
        </w:r>
      </w:hyperlink>
      <w:r>
        <w:rPr>
          <w:rStyle w:val="1446"/>
          <w:sz w:val="24"/>
          <w:szCs w:val="24"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" w:name="_Участник_закупки_для"/>
      <w:r/>
      <w:bookmarkStart w:id="19" w:name="_Ref166312025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14 части I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16 части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 II «ИНФОРМАЦИОННАЯ КАРТА ЗАКУПКИ»</w:t>
        </w:r>
      </w:hyperlink>
      <w:r/>
      <w:bookmarkEnd w:id="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</w:t>
      </w:r>
      <w:r>
        <w:rPr>
          <w:rFonts w:ascii="Times New Roman" w:hAnsi="Times New Roman" w:cs="Times New Roman"/>
          <w:b w:val="0"/>
          <w:bCs w:val="0"/>
        </w:rPr>
        <w:t xml:space="preserve">едоставить справку о цепочке собственников участника закупки, включая бенефициаров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</w:t>
      </w:r>
      <w:r>
        <w:rPr>
          <w:rFonts w:ascii="Times New Roman" w:hAnsi="Times New Roman" w:cs="Times New Roman"/>
          <w:b w:val="0"/>
          <w:bCs w:val="0"/>
        </w:rPr>
        <w:t xml:space="preserve">ррупционными мерами.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://www.consultant.ru/document/cons_doc_LAW_116964/" w:history="1">
        <w:r>
          <w:rPr>
            <w:rStyle w:val="1446"/>
            <w:rFonts w:ascii="Times New Roman" w:hAnsi="Times New Roman" w:cs="Times New Roman"/>
            <w:b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446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</w:t>
        </w:r>
        <w:r>
          <w:rPr>
            <w:rStyle w:val="1446"/>
            <w:rFonts w:ascii="Times New Roman" w:hAnsi="Times New Roman" w:cs="Times New Roman"/>
            <w:b w:val="0"/>
          </w:rPr>
          <w:t xml:space="preserve">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</w:t>
      </w:r>
      <w:r>
        <w:rPr>
          <w:rFonts w:ascii="Times New Roman" w:hAnsi="Times New Roman" w:cs="Times New Roman"/>
          <w:b w:val="0"/>
        </w:rPr>
        <w:t xml:space="preserve"> пункте </w:t>
      </w:r>
      <w:hyperlink w:tooltip="#_Единые_требования_к" w:anchor="_Единые_требования_к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</w:t>
      </w:r>
      <w:r>
        <w:rPr>
          <w:rFonts w:ascii="Times New Roman" w:hAnsi="Times New Roman" w:cs="Times New Roman"/>
          <w:b w:val="0"/>
        </w:rPr>
        <w:t xml:space="preserve"> в состав коллективного участника,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</w:t>
      </w:r>
      <w:r>
        <w:rPr>
          <w:rFonts w:ascii="Times New Roman" w:hAnsi="Times New Roman" w:cs="Times New Roman"/>
          <w:b w:val="0"/>
        </w:rPr>
        <w:t xml:space="preserve">недобросовестных поставщиков и т.п.).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</w:t>
      </w:r>
      <w:r>
        <w:rPr>
          <w:rFonts w:ascii="Times New Roman" w:hAnsi="Times New Roman" w:cs="Times New Roman"/>
          <w:b w:val="0"/>
        </w:rPr>
        <w:t xml:space="preserve"> между членами коллективного участника.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</w:t>
      </w:r>
      <w:r>
        <w:rPr>
          <w:rFonts w:ascii="Times New Roman" w:hAnsi="Times New Roman" w:cs="Times New Roman"/>
          <w:b w:val="0"/>
        </w:rPr>
        <w:t xml:space="preserve">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</w:t>
      </w:r>
      <w:r>
        <w:rPr>
          <w:rFonts w:ascii="Times New Roman" w:hAnsi="Times New Roman" w:cs="Times New Roman"/>
          <w:b w:val="0"/>
        </w:rPr>
        <w:t xml:space="preserve">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 или индивидуальный предприниматель, не </w:t>
      </w:r>
      <w:r>
        <w:rPr>
          <w:rFonts w:ascii="Times New Roman" w:hAnsi="Times New Roman" w:cs="Times New Roman"/>
          <w:b w:val="0"/>
        </w:rPr>
        <w:t xml:space="preserve">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0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</w:t>
      </w:r>
      <w:r>
        <w:rPr>
          <w:rFonts w:ascii="Times New Roman" w:hAnsi="Times New Roman" w:cs="Times New Roman"/>
          <w:b w:val="0"/>
          <w:bCs w:val="0"/>
        </w:rPr>
        <w:t xml:space="preserve">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</w:t>
      </w:r>
      <w:r>
        <w:rPr>
          <w:rFonts w:ascii="Times New Roman" w:hAnsi="Times New Roman" w:cs="Times New Roman"/>
          <w:b w:val="0"/>
          <w:bCs w:val="0"/>
        </w:rPr>
        <w:t xml:space="preserve">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</w:t>
      </w:r>
      <w:r>
        <w:rPr>
          <w:rFonts w:ascii="Times New Roman" w:hAnsi="Times New Roman" w:cs="Times New Roman"/>
          <w:b w:val="0"/>
          <w:bCs w:val="0"/>
        </w:rPr>
        <w:t xml:space="preserve">й указывается в пункте </w:t>
      </w:r>
      <w:bookmarkEnd w:id="20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446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446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18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bookmarkEnd w:id="2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2" w:name="_Ref354131841"/>
      <w:r/>
      <w:bookmarkStart w:id="23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9" w:name="_Toc9"/>
      <w:r/>
      <w:bookmarkEnd w:id="22"/>
      <w:r>
        <w:rPr>
          <w:sz w:val="24"/>
          <w:szCs w:val="24"/>
        </w:rPr>
        <w:t xml:space="preserve">Расходы н</w:t>
      </w:r>
      <w:r>
        <w:rPr>
          <w:sz w:val="24"/>
          <w:szCs w:val="24"/>
        </w:rPr>
        <w:t xml:space="preserve">а участие в закупке и при заключении договора</w:t>
      </w:r>
      <w:bookmarkEnd w:id="2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</w:t>
      </w:r>
      <w:r>
        <w:rPr>
          <w:rFonts w:ascii="Times New Roman" w:hAnsi="Times New Roman" w:cs="Times New Roman"/>
          <w:b w:val="0"/>
          <w:bCs w:val="0"/>
        </w:rPr>
        <w:t xml:space="preserve">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20" w:name="_Toc10"/>
      <w:r/>
      <w:bookmarkStart w:id="26" w:name="_Hlk188373250"/>
      <w:r/>
      <w:bookmarkEnd w:id="11"/>
      <w:r>
        <w:rPr>
          <w:sz w:val="24"/>
          <w:szCs w:val="24"/>
        </w:rPr>
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</w:t>
      </w:r>
      <w:r>
        <w:rPr>
          <w:sz w:val="24"/>
          <w:szCs w:val="24"/>
        </w:rPr>
        <w:t xml:space="preserve">и видами юридических лиц</w:t>
      </w:r>
      <w:bookmarkEnd w:id="220"/>
      <w:r/>
      <w:r/>
    </w:p>
    <w:p>
      <w:pPr>
        <w:pStyle w:val="122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работ, услуг, соответственно выполняемых, оказываемых иностранными лицами, устанавливаются в пункте </w:t>
      </w:r>
      <w:hyperlink w:tooltip="#_Сведения_о_предоставлении" w:anchor="_Информация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</w:t>
      </w:r>
      <w:hyperlink r:id="rId20" w:tooltip="https://zakupki.gov.ru/epz/orderclause/card/common-info.html?orderClauseInfoId=967865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Единого стандарта з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акупок ПАО 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Постановления Прав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ительства РФ от 23.12.2024 № 1875 «О мерах по предоставлению национального режима при осуществлении 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</w:t>
      </w:r>
      <w:r>
        <w:rPr>
          <w:rFonts w:ascii="Times New Roman" w:hAnsi="Times New Roman" w:cs="Times New Roman"/>
          <w:b w:val="0"/>
          <w:bCs w:val="0"/>
        </w:rPr>
        <w:t xml:space="preserve">– ПП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21" w:name="_Toc11"/>
      <w:r>
        <w:rPr>
          <w:sz w:val="24"/>
          <w:szCs w:val="24"/>
        </w:rPr>
        <w:t xml:space="preserve">Антимонопольная оговорка</w:t>
      </w:r>
      <w:bookmarkEnd w:id="221"/>
      <w:r>
        <w:rPr>
          <w:b w:val="0"/>
        </w:rPr>
      </w:r>
      <w:r>
        <w:rPr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комплаенса АО «Россети Янтарь», представленной в разделе «Политика антимонопольного комплаенса» на официальном сайте АО «Россети Янтарь» по адресу в сети Интернет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r:id="rId22" w:tooltip="https://www.rosseti-yantar.ru/about/politiks/antimonopolnyy-komplaens/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</w:t>
      </w:r>
      <w:r>
        <w:rPr>
          <w:rFonts w:ascii="Times New Roman" w:hAnsi="Times New Roman" w:cs="Times New Roman"/>
          <w:b w:val="0"/>
          <w:bCs w:val="0"/>
        </w:rPr>
        <w:t xml:space="preserve">ная политика).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участия в настоящей закупочной процедуре, его работники, представители, учитывают требования действующего Федерального закона от 26.07.2006 № 135-ФЗ «О защите конкуренции», а также иных федеральных законов, нормативных </w:t>
      </w:r>
      <w:r>
        <w:rPr>
          <w:rFonts w:ascii="Times New Roman" w:hAnsi="Times New Roman" w:cs="Times New Roman"/>
          <w:b w:val="0"/>
          <w:bCs w:val="0"/>
        </w:rPr>
        <w:t xml:space="preserve">правовых актов, регулирующих отношения, связанные с защитой конкуренции, предупреждением и пресечением монополистической деятельности и недобросовестной конкуренции (далее- Антимонопольное законодательство), Федерального закона от 18.07.2011 № 223-ФЗ «О за</w:t>
      </w:r>
      <w:r>
        <w:rPr>
          <w:rFonts w:ascii="Times New Roman" w:hAnsi="Times New Roman" w:cs="Times New Roman"/>
          <w:b w:val="0"/>
          <w:bCs w:val="0"/>
        </w:rPr>
        <w:t xml:space="preserve">купках товаров, работ, услуг отдельными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произошло или может произой</w:t>
      </w:r>
      <w:r>
        <w:rPr>
          <w:rFonts w:ascii="Times New Roman" w:hAnsi="Times New Roman" w:cs="Times New Roman"/>
          <w:b w:val="0"/>
          <w:bCs w:val="0"/>
        </w:rPr>
        <w:t xml:space="preserve">ти нарушение каких-либо положений Антимонопольного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 материалы, достове</w:t>
      </w:r>
      <w:r>
        <w:rPr>
          <w:rFonts w:ascii="Times New Roman" w:hAnsi="Times New Roman" w:cs="Times New Roman"/>
          <w:b w:val="0"/>
          <w:bCs w:val="0"/>
        </w:rPr>
        <w:t xml:space="preserve">рно подтверждающие или дающие основание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</w:t>
      </w:r>
      <w:r>
        <w:rPr>
          <w:rFonts w:ascii="Times New Roman" w:hAnsi="Times New Roman" w:cs="Times New Roman"/>
          <w:b w:val="0"/>
          <w:bCs w:val="0"/>
        </w:rPr>
        <w:t xml:space="preserve">ние АО «Россети Янтарь» можно почтой по адресу: 236035, а/я 5065 или через форму обратной связи на сайте Общества.</w:t>
      </w:r>
      <w:bookmarkEnd w:id="26"/>
      <w:r>
        <w:rPr>
          <w:b w:val="0"/>
        </w:rPr>
      </w:r>
      <w:r>
        <w:rPr>
          <w:b w:val="0"/>
        </w:rPr>
      </w:r>
    </w:p>
    <w:p>
      <w:pPr>
        <w:pStyle w:val="1539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2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2" w:name="_Toc12"/>
      <w:r>
        <w:rPr>
          <w:sz w:val="24"/>
          <w:szCs w:val="24"/>
        </w:rPr>
        <w:t xml:space="preserve">ДОКУМЕНТАЦИЯ О ЗАКУПКЕ</w:t>
      </w:r>
      <w:bookmarkEnd w:id="2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23" w:name="_Toc13"/>
      <w:r/>
      <w:bookmarkStart w:id="29" w:name="_Ref11225592"/>
      <w:r>
        <w:rPr>
          <w:sz w:val="24"/>
          <w:szCs w:val="24"/>
        </w:rPr>
        <w:t xml:space="preserve">Предоставление документации</w:t>
      </w:r>
      <w:bookmarkEnd w:id="29"/>
      <w:r>
        <w:rPr>
          <w:sz w:val="24"/>
          <w:szCs w:val="24"/>
        </w:rPr>
        <w:t xml:space="preserve"> о закупке</w:t>
      </w:r>
      <w:bookmarkEnd w:id="22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hyperlink r:id="rId23" w:tooltip="www.zakupki.gov.ru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площадки (далее – ЭТП), указанной в пункте </w:t>
      </w:r>
      <w:hyperlink w:tooltip="#_Адрес_электронной_площадки" w:anchor="_Адрес_электронной_площадки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10 части II «ИНФОРМАЦ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1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24" w:name="_Toc14"/>
      <w:r>
        <w:rPr>
          <w:sz w:val="24"/>
          <w:szCs w:val="24"/>
        </w:rPr>
        <w:t xml:space="preserve">Разъяснение положений документации о закупке</w:t>
      </w:r>
      <w:bookmarkEnd w:id="2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</w:t>
      </w:r>
      <w:r>
        <w:rPr>
          <w:rFonts w:ascii="Times New Roman" w:hAnsi="Times New Roman" w:cs="Times New Roman"/>
          <w:b w:val="0"/>
          <w:bCs w:val="0"/>
        </w:rPr>
        <w:t xml:space="preserve"> время окончания срока предоставления участникам закупки разъяснений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</w:t>
      </w:r>
      <w:r>
        <w:rPr>
          <w:rFonts w:ascii="Times New Roman" w:hAnsi="Times New Roman" w:cs="Times New Roman"/>
          <w:b w:val="0"/>
          <w:bCs w:val="0"/>
        </w:rPr>
        <w:t xml:space="preserve">дней с даты поступления запроса, Заказчик осуществляет разъяснение положений документации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</w:t>
      </w:r>
      <w:r>
        <w:rPr>
          <w:rFonts w:ascii="Times New Roman" w:hAnsi="Times New Roman" w:cs="Times New Roman"/>
          <w:b w:val="0"/>
          <w:bCs w:val="0"/>
        </w:rPr>
        <w:t xml:space="preserve">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3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</w:t>
      </w:r>
      <w:r>
        <w:rPr>
          <w:rFonts w:ascii="Times New Roman" w:hAnsi="Times New Roman" w:cs="Times New Roman"/>
          <w:b w:val="0"/>
          <w:bCs w:val="0"/>
        </w:rPr>
        <w:t xml:space="preserve">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25" w:name="_Toc15"/>
      <w:r/>
      <w:bookmarkStart w:id="34" w:name="_Ref119429410"/>
      <w:r>
        <w:rPr>
          <w:sz w:val="24"/>
          <w:szCs w:val="24"/>
        </w:rPr>
        <w:t xml:space="preserve">Внесение изменений в извещение о </w:t>
      </w:r>
      <w:bookmarkEnd w:id="34"/>
      <w:r>
        <w:rPr>
          <w:sz w:val="24"/>
          <w:szCs w:val="24"/>
        </w:rPr>
        <w:t xml:space="preserve">закупке и/или документацию о закупке</w:t>
      </w:r>
      <w:bookmarkEnd w:id="2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</w:t>
      </w:r>
      <w:r>
        <w:rPr>
          <w:rFonts w:ascii="Times New Roman" w:hAnsi="Times New Roman" w:cs="Times New Roman"/>
          <w:b w:val="0"/>
        </w:rPr>
        <w:t xml:space="preserve">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</w:t>
      </w:r>
      <w:r>
        <w:rPr>
          <w:rFonts w:ascii="Times New Roman" w:hAnsi="Times New Roman" w:cs="Times New Roman"/>
          <w:b w:val="0"/>
        </w:rPr>
        <w:t xml:space="preserve">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</w:t>
      </w:r>
      <w:r>
        <w:rPr>
          <w:rFonts w:ascii="Times New Roman" w:hAnsi="Times New Roman" w:cs="Times New Roman"/>
          <w:b w:val="0"/>
          <w:bCs w:val="0"/>
        </w:rPr>
        <w:t xml:space="preserve">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6" w:name="_Toc16"/>
      <w:r>
        <w:rPr>
          <w:sz w:val="24"/>
          <w:szCs w:val="24"/>
        </w:rPr>
        <w:t xml:space="preserve">Отмена закупки</w:t>
      </w:r>
      <w:bookmarkEnd w:id="2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</w:t>
      </w:r>
      <w:r>
        <w:rPr>
          <w:rFonts w:ascii="Times New Roman" w:hAnsi="Times New Roman" w:cs="Times New Roman"/>
          <w:b w:val="0"/>
          <w:bCs w:val="0"/>
        </w:rPr>
        <w:t xml:space="preserve">) до наступления даты и времени окончания срока подачи заявок на участие в закупке.</w:t>
      </w:r>
      <w:bookmarkEnd w:id="3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8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</w:t>
      </w:r>
      <w:r>
        <w:rPr>
          <w:rFonts w:ascii="Times New Roman" w:hAnsi="Times New Roman" w:cs="Times New Roman"/>
          <w:b w:val="0"/>
          <w:bCs w:val="0"/>
        </w:rPr>
        <w:t xml:space="preserve">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2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7" w:name="_Toc17"/>
      <w:r/>
      <w:bookmarkStart w:id="39" w:name="_ТРЕБОВАНИЯ_К_СОДЕРЖАНИЮ"/>
      <w:r/>
      <w:bookmarkStart w:id="40" w:name="_Ref166159542"/>
      <w:r/>
      <w:bookmarkStart w:id="41" w:name="_Ref166159546"/>
      <w:r/>
      <w:bookmarkStart w:id="42" w:name="_Ref166250138"/>
      <w:r/>
      <w:bookmarkStart w:id="43" w:name="_Ref166250141"/>
      <w:r/>
      <w:bookmarkEnd w:id="38"/>
      <w:r/>
      <w:bookmarkEnd w:id="39"/>
      <w:r>
        <w:rPr>
          <w:sz w:val="24"/>
          <w:szCs w:val="24"/>
        </w:rPr>
        <w:t xml:space="preserve">ТРЕБОВАНИЯ К СОДЕРЖАНИЮ ЗАЯВКИ НА УЧАСТИЕ В </w:t>
      </w:r>
      <w:bookmarkEnd w:id="40"/>
      <w:r/>
      <w:bookmarkEnd w:id="41"/>
      <w:r/>
      <w:bookmarkEnd w:id="42"/>
      <w:r/>
      <w:bookmarkEnd w:id="43"/>
      <w:r>
        <w:rPr>
          <w:sz w:val="24"/>
          <w:szCs w:val="24"/>
        </w:rPr>
        <w:t xml:space="preserve">ЗАКУПКЕ</w:t>
      </w:r>
      <w:bookmarkEnd w:id="2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8" w:name="_Toc18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2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6" w:name="_Ref166246797"/>
      <w:r/>
      <w:bookmarkStart w:id="47" w:name="_Ref119429784"/>
      <w:r/>
      <w:bookmarkStart w:id="48" w:name="_Ref119429817"/>
      <w:r/>
      <w:bookmarkStart w:id="49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</w:t>
      </w:r>
      <w:r>
        <w:rPr>
          <w:rFonts w:ascii="Times New Roman" w:hAnsi="Times New Roman" w:cs="Times New Roman"/>
          <w:b w:val="0"/>
          <w:bCs w:val="0"/>
        </w:rPr>
        <w:t xml:space="preserve">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</w:t>
      </w:r>
      <w:r>
        <w:rPr>
          <w:rFonts w:ascii="Times New Roman" w:hAnsi="Times New Roman" w:cs="Times New Roman"/>
          <w:b w:val="0"/>
          <w:bCs w:val="0"/>
        </w:rPr>
        <w:t xml:space="preserve">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446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446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446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hyperlink w:tooltip="#_ОБРАЗЦЫ_ФОРМ_ДЛЯ" w:anchor="_ОБРАЗЦЫ_ФОРМ_ДЛЯ" w:history="1">
        <w:r>
          <w:rPr>
            <w:rStyle w:val="1446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</w:t>
      </w:r>
      <w:r>
        <w:rPr>
          <w:rFonts w:ascii="Times New Roman" w:hAnsi="Times New Roman" w:cs="Times New Roman"/>
          <w:b w:val="0"/>
          <w:bCs w:val="0"/>
        </w:rPr>
        <w:t xml:space="preserve">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446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46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1475563"/>
      <w:r>
        <w:rPr>
          <w:rFonts w:ascii="Times New Roman" w:hAnsi="Times New Roman" w:cs="Times New Roman"/>
          <w:b w:val="0"/>
          <w:bCs w:val="0"/>
        </w:rPr>
        <w:t xml:space="preserve">Есл</w:t>
      </w:r>
      <w:r>
        <w:rPr>
          <w:rFonts w:ascii="Times New Roman" w:hAnsi="Times New Roman" w:cs="Times New Roman"/>
          <w:b w:val="0"/>
          <w:bCs w:val="0"/>
        </w:rPr>
        <w:t xml:space="preserve">и в документах, входящих в состав заявки на участие в закупке, 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</w:t>
      </w:r>
      <w:r>
        <w:rPr>
          <w:rFonts w:ascii="Times New Roman" w:hAnsi="Times New Roman" w:cs="Times New Roman"/>
          <w:b w:val="0"/>
          <w:bCs w:val="0"/>
        </w:rPr>
        <w:t xml:space="preserve">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>
        <w:rPr>
          <w:rFonts w:ascii="Times New Roman" w:hAnsi="Times New Roman" w:cs="Times New Roman"/>
          <w:b w:val="0"/>
          <w:bCs w:val="0"/>
        </w:rPr>
        <w:t xml:space="preserve">закупке, должны быть заполнены по всем пунктам, за исключением пунктов, носящих рекомендательный характер.</w:t>
      </w:r>
      <w:bookmarkStart w:id="51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</w:t>
      </w:r>
      <w:r>
        <w:rPr>
          <w:rFonts w:ascii="Times New Roman" w:hAnsi="Times New Roman" w:cs="Times New Roman"/>
          <w:b w:val="0"/>
          <w:bCs w:val="0"/>
        </w:rPr>
        <w:t xml:space="preserve">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29" w:name="_Toc19"/>
      <w:r/>
      <w:bookmarkEnd w:id="51"/>
      <w:r>
        <w:rPr>
          <w:sz w:val="24"/>
          <w:szCs w:val="24"/>
        </w:rPr>
        <w:t xml:space="preserve">Язык документов, входящих в состав заявки на учас</w:t>
      </w:r>
      <w:r>
        <w:rPr>
          <w:sz w:val="24"/>
          <w:szCs w:val="24"/>
        </w:rPr>
        <w:t xml:space="preserve">тие в закупке</w:t>
      </w:r>
      <w:bookmarkEnd w:id="2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</w:t>
      </w:r>
      <w:r>
        <w:rPr>
          <w:rFonts w:ascii="Times New Roman" w:hAnsi="Times New Roman" w:cs="Times New Roman"/>
          <w:b w:val="0"/>
          <w:bCs w:val="0"/>
        </w:rPr>
        <w:t xml:space="preserve">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0" w:name="_Toc20"/>
      <w:r>
        <w:rPr>
          <w:sz w:val="24"/>
          <w:szCs w:val="24"/>
        </w:rPr>
        <w:t xml:space="preserve">Требования к валюте заявки</w:t>
      </w:r>
      <w:bookmarkEnd w:id="2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Hlt517806775"/>
      <w:r/>
      <w:bookmarkStart w:id="55" w:name="_Ref52534291"/>
      <w:r/>
      <w:bookmarkEnd w:id="54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</w:t>
      </w:r>
      <w:r>
        <w:rPr>
          <w:rFonts w:ascii="Times New Roman" w:hAnsi="Times New Roman" w:cs="Times New Roman"/>
          <w:b w:val="0"/>
        </w:rPr>
        <w:t xml:space="preserve">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</w:t>
      </w:r>
      <w:r>
        <w:rPr>
          <w:rFonts w:ascii="Times New Roman" w:hAnsi="Times New Roman" w:cs="Times New Roman"/>
          <w:b w:val="0"/>
        </w:rPr>
        <w:t xml:space="preserve">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</w:t>
      </w:r>
      <w:r>
        <w:rPr>
          <w:rFonts w:ascii="Times New Roman" w:hAnsi="Times New Roman" w:cs="Times New Roman"/>
          <w:b w:val="0"/>
        </w:rPr>
        <w:t xml:space="preserve">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1" w:name="_Toc2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7"/>
      <w:r/>
      <w:bookmarkEnd w:id="48"/>
      <w:r/>
      <w:bookmarkEnd w:id="49"/>
      <w:r/>
      <w:bookmarkEnd w:id="23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7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Сведения_и_документы," w:anchor="_Сведения_и_документы," w:history="1">
        <w:r>
          <w:rPr>
            <w:rStyle w:val="1446"/>
            <w:rFonts w:ascii="Times New Roman" w:hAnsi="Times New Roman" w:cs="Times New Roman"/>
            <w:b w:val="0"/>
          </w:rPr>
          <w:t xml:space="preserve">17 части II «ИНФОРМАЦИОННАЯ КАРТА 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ЗАКУПКИ</w:t>
        </w:r>
        <w:r>
          <w:rPr>
            <w:rStyle w:val="1446"/>
            <w:rFonts w:ascii="Times New Roman" w:hAnsi="Times New Roman" w:cs="Times New Roman"/>
            <w:b w:val="0"/>
          </w:rPr>
          <w:t xml:space="preserve">»</w:t>
        </w:r>
        <w:bookmarkEnd w:id="57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должна быть 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</w:t>
      </w:r>
      <w:r>
        <w:rPr>
          <w:rFonts w:ascii="Times New Roman" w:hAnsi="Times New Roman" w:cs="Times New Roman"/>
        </w:rPr>
        <w:t xml:space="preserve">быть менее, чем 90</w:t>
      </w:r>
      <w:r>
        <w:rPr>
          <w:rStyle w:val="1557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пункте </w:t>
      </w:r>
      <w:hyperlink w:tooltip="#_Сведения_и_документы," w:anchor="_Сведения_и_документы," w:history="1">
        <w:r>
          <w:rPr>
            <w:rStyle w:val="1446"/>
            <w:rFonts w:ascii="Times New Roman" w:hAnsi="Times New Roman" w:cs="Times New Roman"/>
            <w:b w:val="0"/>
          </w:rPr>
          <w:t xml:space="preserve">17 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</w:t>
      </w:r>
      <w:r>
        <w:rPr>
          <w:rFonts w:ascii="Times New Roman" w:hAnsi="Times New Roman" w:cs="Times New Roman"/>
          <w:b w:val="0"/>
          <w:bCs w:val="0"/>
        </w:rPr>
        <w:t xml:space="preserve">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</w:t>
      </w:r>
      <w:r>
        <w:rPr>
          <w:rFonts w:ascii="Times New Roman" w:hAnsi="Times New Roman" w:cs="Times New Roman"/>
          <w:b w:val="0"/>
          <w:bCs w:val="0"/>
        </w:rPr>
        <w:t xml:space="preserve">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</w:t>
      </w:r>
      <w:r>
        <w:rPr>
          <w:rFonts w:ascii="Times New Roman" w:hAnsi="Times New Roman" w:cs="Times New Roman"/>
          <w:b w:val="0"/>
          <w:bCs w:val="0"/>
        </w:rPr>
        <w:t xml:space="preserve">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3.4.5._В_с"/>
      <w:r/>
      <w:bookmarkStart w:id="60" w:name="_В_случае,_если"/>
      <w:r/>
      <w:bookmarkEnd w:id="59"/>
      <w:r/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</w:t>
      </w:r>
      <w:r>
        <w:rPr>
          <w:rFonts w:ascii="Times New Roman" w:hAnsi="Times New Roman" w:cs="Times New Roman"/>
          <w:b w:val="0"/>
          <w:bCs w:val="0"/>
        </w:rPr>
        <w:t xml:space="preserve">соотв</w:t>
      </w:r>
      <w:r>
        <w:rPr>
          <w:rFonts w:ascii="Times New Roman" w:hAnsi="Times New Roman" w:cs="Times New Roman"/>
          <w:b w:val="0"/>
          <w:bCs w:val="0"/>
        </w:rPr>
        <w:t xml:space="preserve">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9"/>
        <w:numPr>
          <w:ilvl w:val="0"/>
          <w:numId w:val="8"/>
        </w:numPr>
        <w:ind w:left="0" w:firstLine="567"/>
        <w:jc w:val="both"/>
      </w:pPr>
      <w:r>
        <w:t xml:space="preserve">в соглашении должны быть четко определены права и обязанности сторон как в рамках участия в закупочной процедуре, так и в рамк</w:t>
      </w:r>
      <w:r>
        <w:t xml:space="preserve">ах исполнения договора, заключаемого по ее результатам;</w:t>
      </w:r>
      <w:r/>
    </w:p>
    <w:p>
      <w:pPr>
        <w:pStyle w:val="1539"/>
        <w:numPr>
          <w:ilvl w:val="0"/>
          <w:numId w:val="8"/>
        </w:numPr>
        <w:ind w:left="0" w:firstLine="567"/>
        <w:jc w:val="both"/>
      </w:pPr>
      <w:r>
        <w:t xml:space="preserve">в соглашении должно быть приведено распределение объемов, стоимости (в процентах) и сроков выполнения работ/услуг/поставок между членами коллективного участника;</w:t>
      </w:r>
      <w:r/>
    </w:p>
    <w:p>
      <w:pPr>
        <w:pStyle w:val="1539"/>
        <w:numPr>
          <w:ilvl w:val="0"/>
          <w:numId w:val="8"/>
        </w:numPr>
        <w:ind w:left="0" w:firstLine="567"/>
        <w:jc w:val="both"/>
      </w:pPr>
      <w:r>
        <w:t xml:space="preserve">в соглашении должен быть определен лид</w:t>
      </w:r>
      <w:r>
        <w:t xml:space="preserve">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/>
    </w:p>
    <w:p>
      <w:pPr>
        <w:pStyle w:val="1539"/>
        <w:numPr>
          <w:ilvl w:val="0"/>
          <w:numId w:val="8"/>
        </w:numPr>
        <w:ind w:left="0" w:firstLine="567"/>
        <w:jc w:val="both"/>
      </w:pPr>
      <w:r>
        <w:t xml:space="preserve">в соглашении должна быть установлена субсидиарная ответственность каждого члена коллективного участника по обязат</w:t>
      </w:r>
      <w:r>
        <w:t xml:space="preserve">ельствам, связанным с участием в закупочной процедуре, и солидарная ответственность за своевременное и полное исполнение договора;</w:t>
      </w:r>
      <w:r/>
    </w:p>
    <w:p>
      <w:pPr>
        <w:pStyle w:val="1539"/>
        <w:numPr>
          <w:ilvl w:val="0"/>
          <w:numId w:val="8"/>
        </w:numPr>
        <w:ind w:left="0" w:firstLine="567"/>
        <w:jc w:val="both"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</w:t>
      </w:r>
      <w:r>
        <w:t xml:space="preserve">ельно с лидером, однако, по желанию заказчика или по его инициативе, данная схема может быть изменена;</w:t>
      </w:r>
      <w:r/>
    </w:p>
    <w:p>
      <w:pPr>
        <w:pStyle w:val="1539"/>
        <w:numPr>
          <w:ilvl w:val="0"/>
          <w:numId w:val="8"/>
        </w:numPr>
        <w:ind w:left="0" w:firstLine="567"/>
        <w:jc w:val="both"/>
        <w:rPr>
          <w:bCs/>
        </w:rPr>
      </w:pPr>
      <w:r>
        <w:t xml:space="preserve">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1" w:name="_3.4.6._В_с"/>
      <w:r/>
      <w:bookmarkStart w:id="62" w:name="_В_случае,_если_1"/>
      <w:r/>
      <w:bookmarkEnd w:id="61"/>
      <w:r/>
      <w:bookmarkEnd w:id="6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</w:t>
      </w:r>
      <w:r>
        <w:rPr>
          <w:rFonts w:ascii="Times New Roman" w:hAnsi="Times New Roman" w:cs="Times New Roman"/>
          <w:b w:val="0"/>
          <w:bCs w:val="0"/>
        </w:rPr>
        <w:t xml:space="preserve">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9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539"/>
        <w:numPr>
          <w:ilvl w:val="0"/>
          <w:numId w:val="8"/>
        </w:numPr>
        <w:ind w:left="0" w:firstLine="567"/>
        <w:jc w:val="both"/>
        <w:rPr>
          <w:rStyle w:val="1446"/>
          <w:bCs/>
        </w:rPr>
      </w:pPr>
      <w:r>
        <w:t xml:space="preserve">в отношении каждого из членов колле</w:t>
      </w:r>
      <w:r>
        <w:t xml:space="preserve">ктивного участника предоставляются документы и сведения, предусмотренные пунктом </w:t>
      </w:r>
      <w:hyperlink w:tooltip="#_Сведения_и_документы," w:anchor="_Сведения_и_документы," w:history="1">
        <w:r>
          <w:rPr>
            <w:rStyle w:val="1446"/>
          </w:rPr>
          <w:t xml:space="preserve">17 части II «ИНФОРМАЦИОННАЯ КАРТА ЗАКУПКИ»</w:t>
        </w:r>
      </w:hyperlink>
      <w:r>
        <w:rPr>
          <w:rStyle w:val="1446"/>
          <w:bCs/>
          <w:color w:val="000000" w:themeColor="text1"/>
          <w:u w:val="none"/>
        </w:rPr>
        <w:t xml:space="preserve">.</w:t>
      </w:r>
      <w:r>
        <w:rPr>
          <w:rStyle w:val="1446"/>
          <w:bCs/>
        </w:rPr>
      </w:r>
      <w:r>
        <w:rPr>
          <w:rStyle w:val="1446"/>
          <w:bCs/>
        </w:rPr>
      </w:r>
    </w:p>
    <w:p>
      <w:pPr>
        <w:pStyle w:val="1539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</w:t>
      </w:r>
      <w:r>
        <w:t xml:space="preserve">о ссылкой на то, что он представляет интересы коллективного участника;</w:t>
      </w:r>
      <w:r/>
    </w:p>
    <w:p>
      <w:pPr>
        <w:pStyle w:val="1539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2" w:name="_Toc22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2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314630"/>
      <w:r/>
      <w:bookmarkStart w:id="6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</w:t>
      </w:r>
      <w:r>
        <w:rPr>
          <w:rFonts w:ascii="Times New Roman" w:hAnsi="Times New Roman" w:cs="Times New Roman"/>
          <w:b w:val="0"/>
          <w:bCs w:val="0"/>
        </w:rPr>
        <w:t xml:space="preserve">упки, не может превышать начальную (максимальную) цену договора (цену лота), указанную в извещении закупке и в пункте </w:t>
      </w:r>
      <w:hyperlink w:tooltip="#_Сведения_о_начальной" w:anchor="_Сведения_о_начальной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4"/>
      <w:r>
        <w:rPr>
          <w:rFonts w:ascii="Times New Roman" w:hAnsi="Times New Roman" w:cs="Times New Roman"/>
          <w:b w:val="0"/>
          <w:bCs w:val="0"/>
        </w:rPr>
        <w:t xml:space="preserve">в случае, если уч</w:t>
      </w:r>
      <w:r>
        <w:rPr>
          <w:rFonts w:ascii="Times New Roman" w:hAnsi="Times New Roman" w:cs="Times New Roman"/>
          <w:b w:val="0"/>
          <w:bCs w:val="0"/>
        </w:rPr>
        <w:t xml:space="preserve">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</w:t>
      </w:r>
      <w:r>
        <w:rPr>
          <w:rFonts w:ascii="Times New Roman" w:hAnsi="Times New Roman" w:cs="Times New Roman"/>
          <w:b w:val="0"/>
          <w:bCs w:val="0"/>
        </w:rPr>
        <w:t xml:space="preserve"> (цену лота) без учета НДС.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</w:t>
      </w:r>
      <w:r>
        <w:rPr>
          <w:rFonts w:ascii="Times New Roman" w:hAnsi="Times New Roman" w:cs="Times New Roman"/>
          <w:b w:val="0"/>
          <w:bCs w:val="0"/>
        </w:rPr>
        <w:t xml:space="preserve">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</w:t>
      </w:r>
      <w:r>
        <w:rPr>
          <w:rFonts w:ascii="Times New Roman" w:hAnsi="Times New Roman" w:cs="Times New Roman"/>
          <w:b w:val="0"/>
          <w:bCs w:val="0"/>
        </w:rPr>
        <w:t xml:space="preserve">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9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</w:t>
      </w:r>
      <w:r>
        <w:t xml:space="preserve">ь установлено, что при подаче ценовых предложений (цены предложения на переторжке (далее - дополнительных ценовых предложений)) путем снижения общей стоимости заявки участник не вправе </w:t>
      </w:r>
      <w:r>
        <w:t xml:space="preserve">превышать единичные расценки либо отдельные стоимостные позиции, первон</w:t>
      </w:r>
      <w:r>
        <w:t xml:space="preserve">ачально представленные им в заявке.</w:t>
      </w:r>
      <w:r/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</w:t>
      </w:r>
      <w:r>
        <w:rPr>
          <w:rFonts w:ascii="Times New Roman" w:hAnsi="Times New Roman" w:eastAsia="Calibri" w:cs="Times New Roman"/>
          <w:b w:val="0"/>
        </w:rPr>
        <w:t xml:space="preserve">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</w:t>
      </w:r>
      <w:r>
        <w:rPr>
          <w:rFonts w:ascii="Times New Roman" w:hAnsi="Times New Roman" w:cs="Times New Roman"/>
          <w:b w:val="0"/>
          <w:bCs w:val="0"/>
        </w:rPr>
        <w:t xml:space="preserve">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hyperlink w:tooltip="#_ТЕХНИЧЕСКАЯ_ЧАСТЬ" w:anchor="_ТЕХНИЧЕСКАЯ_ЧАСТЬ" w:history="1">
        <w:r>
          <w:rPr>
            <w:rStyle w:val="1446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46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формами, установленными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446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обязательный характер. Участник закупки может п</w:t>
      </w:r>
      <w:r>
        <w:rPr>
          <w:rFonts w:ascii="Times New Roman" w:hAnsi="Times New Roman" w:cs="Times New Roman"/>
          <w:b w:val="0"/>
          <w:bCs w:val="0"/>
        </w:rPr>
        <w:t xml:space="preserve">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446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46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7" w:name="_Hlk160542448"/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bookmarkEnd w:id="67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</w:t>
      </w:r>
      <w:r>
        <w:rPr>
          <w:rFonts w:ascii="Times New Roman" w:hAnsi="Times New Roman" w:cs="Times New Roman"/>
          <w:b w:val="0"/>
          <w:bCs w:val="0"/>
        </w:rPr>
        <w:t xml:space="preserve">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</w:t>
      </w:r>
      <w:r>
        <w:rPr>
          <w:rFonts w:ascii="Times New Roman" w:hAnsi="Times New Roman" w:cs="Times New Roman"/>
          <w:b w:val="0"/>
          <w:bCs w:val="0"/>
        </w:rPr>
        <w:t xml:space="preserve">установленными  части </w:t>
      </w:r>
      <w:hyperlink w:tooltip="#_ТЕХНИЧЕСКАЯ_ЧАСТЬ" w:anchor="_ТЕХНИЧЕСКАЯ_ЧАСТЬ" w:history="1">
        <w:r>
          <w:rPr>
            <w:rStyle w:val="1446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446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</w:t>
      </w:r>
      <w:r>
        <w:rPr>
          <w:rFonts w:ascii="Times New Roman" w:hAnsi="Times New Roman" w:cs="Times New Roman"/>
          <w:b w:val="0"/>
          <w:bCs w:val="0"/>
        </w:rPr>
        <w:t xml:space="preserve">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в случае предложения эквивалентной продукции при описании ее обяз</w:t>
      </w:r>
      <w:r>
        <w:rPr>
          <w:rFonts w:ascii="Times New Roman" w:hAnsi="Times New Roman" w:cs="Times New Roman"/>
          <w:b w:val="0"/>
          <w:bCs w:val="0"/>
        </w:rPr>
        <w:t xml:space="preserve">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3" w:name="_Toc23"/>
      <w:r/>
      <w:bookmarkStart w:id="68" w:name="_3.6._Требо"/>
      <w:r/>
      <w:bookmarkStart w:id="69" w:name="_Требования_к_обеспечению"/>
      <w:r/>
      <w:bookmarkStart w:id="70" w:name="_Ref119429503"/>
      <w:r/>
      <w:bookmarkEnd w:id="68"/>
      <w:r/>
      <w:bookmarkEnd w:id="65"/>
      <w:r/>
      <w:bookmarkEnd w:id="69"/>
      <w:r>
        <w:rPr>
          <w:sz w:val="24"/>
          <w:szCs w:val="24"/>
        </w:rPr>
        <w:t xml:space="preserve">Требования к обеспечению заявок на участи</w:t>
      </w:r>
      <w:r>
        <w:rPr>
          <w:sz w:val="24"/>
          <w:szCs w:val="24"/>
        </w:rPr>
        <w:t xml:space="preserve">е в закупке</w:t>
      </w:r>
      <w:bookmarkEnd w:id="70"/>
      <w:r/>
      <w:bookmarkEnd w:id="2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/>
      <w:bookmarkStart w:id="72" w:name="_Возврат_участнику_закупки"/>
      <w:r/>
      <w:bookmarkStart w:id="73" w:name="_Ref535415072"/>
      <w:r/>
      <w:bookmarkEnd w:id="72"/>
      <w:r>
        <w:t xml:space="preserve"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не более 5 (пяти</w:t>
      </w:r>
      <w:r>
        <w:t xml:space="preserve">) процентов от начальной (максимальной) цены договора. Обеспечение заявки может быть представлено в форме внесения денежных средств или в форме независимой гарантии. Выбор способа обеспечения заявки на участие в закупке осуществляется участником закупки са</w:t>
      </w:r>
      <w:r>
        <w:t xml:space="preserve">мостоятельно. Предоставление обеспечения иным, не указанным в настоящей документации о закупке способом не допускается.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t xml:space="preserve">. </w:t>
      </w:r>
      <w:r/>
    </w:p>
    <w:p>
      <w:pPr>
        <w:numPr>
          <w:ilvl w:val="2"/>
          <w:numId w:val="1"/>
        </w:numPr>
        <w:ind w:left="0" w:firstLine="567"/>
        <w:spacing w:after="0"/>
        <w:rPr>
          <w:color w:val="0000ff"/>
          <w:u w:val="single"/>
        </w:rPr>
        <w:outlineLvl w:val="2"/>
      </w:pPr>
      <w:r>
        <w:t xml:space="preserve">Денежные средства вносятся участником закупки на Лицевой счет участника закупки, открытый оператором электронной площадки в соответствии с правилами, ус</w:t>
      </w:r>
      <w:r>
        <w:t xml:space="preserve">тановленными Регламентом работы ЭТП</w:t>
      </w:r>
      <w:r>
        <w:rPr>
          <w:bCs/>
        </w:rPr>
        <w:t xml:space="preserve">. Информация о перечислении средств на </w:t>
      </w:r>
      <w:r>
        <w:rPr>
          <w:bCs/>
        </w:rPr>
        <w:t xml:space="preserve">Лицевой счет ЭТП, либо на </w:t>
      </w:r>
      <w: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</w:t>
        </w:r>
        <w:r>
          <w:rPr>
            <w:color w:val="0000ff"/>
            <w:u w:val="single"/>
          </w:rPr>
          <w:t xml:space="preserve">»</w:t>
        </w:r>
      </w:hyperlink>
      <w:r>
        <w:rPr>
          <w:color w:val="0000ff"/>
          <w:u w:val="single"/>
        </w:rPr>
        <w:t xml:space="preserve">.</w:t>
      </w:r>
      <w:r>
        <w:rPr>
          <w:color w:val="0000ff"/>
          <w:u w:val="single"/>
        </w:rPr>
      </w:r>
      <w:r>
        <w:rPr>
          <w:color w:val="0000ff"/>
          <w:u w:val="single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</w:t>
      </w:r>
      <w:r>
        <w:t xml:space="preserve">же Регламентом работы ЭТП. 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  Денежные средства, внесенные на счет Заказчика в качестве обеспечения заявки на участие в закупке возвращаются: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всем участникам закупки, за исключением участника закупки, заявке которого присвоен первый номер, в срок не более </w:t>
      </w:r>
      <w:r>
        <w:rPr>
          <w:bCs/>
        </w:rPr>
        <w:t xml:space="preserve">7 (семи) рабочих дней со дня подписания протокола, составленного по результатам закупки;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участнику закупки, заявке которого присвоен первый номер, в срок не более 7 (семи) рабочих дней со дня заключения договора либо со дня предоставления таким участником </w:t>
      </w:r>
      <w:r>
        <w:rPr>
          <w:bCs/>
        </w:rPr>
        <w:t xml:space="preserve">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Возврат участнику закупки денежных средств, внесенных в качестве обеспечения </w:t>
      </w:r>
      <w:r>
        <w:t xml:space="preserve">заявки, не производится, а независимая гарантия предъявляется банку-гаранту для выплаты суммы обеспечения исполнения обязательств в следующих случаях:</w:t>
      </w:r>
      <w:bookmarkEnd w:id="73"/>
      <w:r/>
      <w:r/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документацией о закупк</w:t>
      </w:r>
      <w:r>
        <w:t xml:space="preserve">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</w:t>
      </w:r>
      <w:r>
        <w:t xml:space="preserve">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статей </w:t>
      </w:r>
      <w:hyperlink r:id="rId24" w:tooltip="https://www.consultant.ru/document/cons_doc_LAW_5142/03edc46b2ef855fddfaaa3d77dac1d071ef3dba1/" w:history="1">
        <w:r>
          <w:rPr>
            <w:color w:val="0000ff"/>
            <w:u w:val="single"/>
          </w:rPr>
          <w:t xml:space="preserve">368</w:t>
        </w:r>
      </w:hyperlink>
      <w:r>
        <w:t xml:space="preserve">-</w:t>
      </w:r>
      <w:hyperlink r:id="rId25" w:tooltip="https://www.consultant.ru/document/cons_doc_LAW_5142/e8b1dba1c6def4f632470a9857908caf60fec137/" w:history="1">
        <w:r>
          <w:rPr>
            <w:color w:val="0000ff"/>
            <w:u w:val="single"/>
          </w:rPr>
          <w:t xml:space="preserve">379</w:t>
        </w:r>
      </w:hyperlink>
      <w:r>
        <w:t xml:space="preserve"> Гражданского кодекса Российской Федерации и следующих условий: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</w:t>
      </w:r>
      <w:r>
        <w:rPr>
          <w:bCs/>
        </w:rPr>
        <w:t xml:space="preserve">ом, предусмотренным </w:t>
      </w:r>
      <w:hyperlink r:id="rId26" w:tooltip="https://www.consultant.ru/document/cons_doc_LAW_144624/af90cad46f4484d18fa490ef1c9d7a3b2fd3be3b/#dst2441" w:anchor="dst2441" w:history="1">
        <w:r>
          <w:rPr>
            <w:rStyle w:val="1446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может быть отозвана выдавшим ее гарантом;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срок </w:t>
      </w:r>
      <w:r>
        <w:t xml:space="preserve">действия независимой гарантии должен заканчиваться не ранее, чем через 60 календарных дней с даты окончания срока подачи заявок;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</w:t>
      </w:r>
      <w:r>
        <w:t xml:space="preserve">или частично по письменному требованию бенефициара;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</w:t>
      </w:r>
      <w:r>
        <w:t xml:space="preserve">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85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585"/>
          <w:vertAlign w:val="superscript"/>
        </w:rPr>
        <w:footnoteReference w:customMarkFollows="1" w:id="2"/>
        <w:t xml:space="preserve">1</w:t>
      </w:r>
      <w:r>
        <w:rPr>
          <w:rStyle w:val="1585"/>
        </w:rPr>
        <w:t xml:space="preserve">, и в отношении данной кре</w:t>
      </w:r>
      <w:r>
        <w:rPr>
          <w:rStyle w:val="1585"/>
        </w:rPr>
        <w:t xml:space="preserve">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85"/>
          <w:vertAlign w:val="superscript"/>
        </w:rPr>
        <w:footnoteReference w:customMarkFollows="1" w:id="3"/>
        <w:t xml:space="preserve">2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585"/>
        </w:rPr>
        <w:t xml:space="preserve">кредитная организация не находится в процессе слияния, присоединения, санации (финансово</w:t>
      </w:r>
      <w:r>
        <w:rPr>
          <w:rStyle w:val="1585"/>
        </w:rPr>
        <w:t xml:space="preserve">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</w:t>
      </w:r>
      <w:r>
        <w:rPr>
          <w:rStyle w:val="1585"/>
        </w:rPr>
        <w:t xml:space="preserve">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19"/>
        </w:numPr>
        <w:ind w:left="0" w:firstLine="567"/>
        <w:spacing w:after="0"/>
      </w:pPr>
      <w:r/>
      <w:bookmarkStart w:id="74" w:name="_Hlk183437361"/>
      <w:r>
        <w:t xml:space="preserve">кредитная организация входит в перечень кредитных организаций, соответствующих требованиям, установленным частями</w:t>
      </w:r>
      <w:r>
        <w:t xml:space="preserve">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bookmarkEnd w:id="74"/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для ба</w:t>
      </w:r>
      <w:r>
        <w:t xml:space="preserve">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4"/>
        <w:t xml:space="preserve">3.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5"/>
        <w:t xml:space="preserve">4</w:t>
      </w:r>
      <w:r/>
    </w:p>
    <w:tbl>
      <w:tblPr>
        <w:tblW w:w="9359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9"/>
        <w:gridCol w:w="3260"/>
      </w:tblGrid>
      <w:tr>
        <w:tblPrEx/>
        <w:trPr>
          <w:trHeight w:val="75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6"/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customMarkFollows="1" w:id="7"/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5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9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3.6.8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19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долгосрочный кредитный рейтинг по национальной шкале, присвоенный аккредитованными Банком России </w:t>
      </w:r>
      <w:r>
        <w:rPr>
          <w:rFonts w:eastAsia="Arial Unicode MS" w:cs="Arial Unicode MS"/>
          <w:color w:val="000000"/>
        </w:rPr>
        <w:t xml:space="preserve">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8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9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0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409"/>
        <w:gridCol w:w="2268"/>
        <w:gridCol w:w="2295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ind w:left="567"/>
        <w:spacing w:after="0"/>
      </w:pPr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обеспечение заявки может быть оформлено в виде отдельной независимой гарантии по каждому лоту, либо в виде одной независимой гарантии на общую сумму гарантии по всем лотам, на которые участник подает заявки.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Вместе с гарантией участник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</w:t>
      </w:r>
      <w:r>
        <w:rPr>
          <w:bCs/>
        </w:rPr>
        <w:t xml:space="preserve">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</w:t>
      </w:r>
      <w:r>
        <w:rPr>
          <w:bCs/>
        </w:rPr>
        <w:t xml:space="preserve">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</w:t>
      </w:r>
      <w:r>
        <w:rPr>
          <w:bCs/>
        </w:rPr>
        <w:t xml:space="preserve">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Форма независимой гарантии, иные требования, связанные с независимой гарантией, установлены в части </w:t>
      </w:r>
      <w:hyperlink w:tooltip="#_VII._ТИПОВ" w:anchor="_VII._ТИПОВ" w:history="1">
        <w:r>
          <w:rPr>
            <w:rStyle w:val="1446"/>
          </w:rPr>
          <w:t xml:space="preserve">VII «ТИПОВЫЕ ФОРМЫ НЕЗАВИСИМЫХ ГАРАНТИЙ»</w:t>
        </w:r>
      </w:hyperlink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Независимая гарантия, может быть выдана в пис</w:t>
      </w:r>
      <w:r>
        <w:t xml:space="preserve">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пунктом </w:t>
      </w:r>
      <w:hyperlink w:tooltip="#_3.6._Требо" w:anchor="_3.6._Требо" w:history="1">
        <w:r>
          <w:rPr>
            <w:rStyle w:val="1446"/>
          </w:rPr>
          <w:t xml:space="preserve">3.6</w:t>
        </w:r>
      </w:hyperlink>
      <w:r>
        <w:t xml:space="preserve"> Документации, является основанием для отказа в допуске к участию в закупке.</w:t>
      </w:r>
      <w:r/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4" w:name="_Toc24"/>
      <w:r/>
      <w:bookmarkStart w:id="75" w:name="_Порядок_действий,_осуществляемых"/>
      <w:r/>
      <w:bookmarkEnd w:id="75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</w:r>
      <w:bookmarkEnd w:id="2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Под аномально низкой ценой понимается снижение цены участником закупки относительно начальной (максимальной) цены договора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 (цены лота) или условной (максимальной) цены договора (в случае  заключения договора по результатам закупки фиксирующего номенклатуру продукции и единичные расценки на нее, и приобретение заказчиком товаров (работ, услуг) по фактической потребности из чис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ла установленной договором номенклатуры и по цене согласно установленным единичным расценкам), указанной в извещении о закупки и документации о закупке на 25 (двадцать пять) и более процентов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3.7.2._В_с"/>
      <w:r/>
      <w:bookmarkStart w:id="78" w:name="_В_случае_если"/>
      <w:r/>
      <w:bookmarkEnd w:id="77"/>
      <w:r/>
      <w:bookmarkEnd w:id="78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</w:t>
      </w:r>
      <w:r>
        <w:rPr>
          <w:rFonts w:ascii="Times New Roman" w:hAnsi="Times New Roman" w:cs="Times New Roman"/>
          <w:b w:val="0"/>
        </w:rPr>
        <w:t xml:space="preserve">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tbl>
      <w:tblPr>
        <w:tblW w:w="946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700"/>
        <w:gridCol w:w="1702"/>
        <w:gridCol w:w="37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</w:t>
            </w:r>
            <w:r>
              <w:rPr>
                <w:sz w:val="22"/>
                <w:szCs w:val="22"/>
              </w:rPr>
              <w:t xml:space="preserve">х условий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5% (пять)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</w:t>
            </w:r>
            <w:r>
              <w:rPr>
                <w:sz w:val="22"/>
                <w:szCs w:val="22"/>
              </w:rPr>
              <w:t xml:space="preserve">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</w:t>
            </w:r>
            <w:r>
              <w:rPr>
                <w:sz w:val="22"/>
                <w:szCs w:val="22"/>
              </w:rPr>
              <w:t xml:space="preserve">начально установленного обеспечение исполнения договора в 1,5 (полтора) раза, но не менее 5% (пяти) от начальной (максимальной) цены договора,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 или в форме независимой гарантии. Выбор способа обеспечения исполнения обязательств по договору</w:t>
      </w:r>
      <w:r>
        <w:rPr>
          <w:rFonts w:ascii="Times New Roman" w:hAnsi="Times New Roman" w:cs="Times New Roman"/>
          <w:b w:val="0"/>
          <w:bCs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</w:t>
      </w:r>
      <w:r>
        <w:rPr>
          <w:rFonts w:ascii="Times New Roman" w:hAnsi="Times New Roman" w:cs="Times New Roman"/>
          <w:b w:val="0"/>
          <w:bCs w:val="0"/>
        </w:rPr>
        <w:t xml:space="preserve">по договору, предусмотренного в пункте </w:t>
      </w:r>
      <w:hyperlink w:tooltip="#_3.7.2._В_с" w:anchor="_3.7.2._В_с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3.7.2 </w:t>
        </w:r>
      </w:hyperlink>
      <w:r>
        <w:rPr>
          <w:rFonts w:ascii="Times New Roman" w:hAnsi="Times New Roman" w:cs="Times New Roman"/>
          <w:b w:val="0"/>
          <w:bCs w:val="0"/>
        </w:rPr>
        <w:t xml:space="preserve">документации о закупке в форме денежных средств, такие средства перечисляются на расчетный счет Заказчика, указанный в соответствующем разделе Проекта договора. В</w:t>
      </w:r>
      <w:r>
        <w:rPr>
          <w:rFonts w:ascii="Times New Roman" w:hAnsi="Times New Roman" w:cs="Times New Roman"/>
          <w:b w:val="0"/>
          <w:bCs w:val="0"/>
        </w:rPr>
        <w:t xml:space="preserve">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проекте договора. В с</w:t>
      </w:r>
      <w:r>
        <w:rPr>
          <w:rFonts w:ascii="Times New Roman" w:hAnsi="Times New Roman" w:cs="Times New Roman"/>
          <w:b w:val="0"/>
          <w:bCs w:val="0"/>
        </w:rPr>
        <w:t xml:space="preserve">лучае отсутствия в проекте договора установленного срока </w:t>
      </w:r>
      <w:r>
        <w:rPr>
          <w:rFonts w:ascii="Times New Roman" w:hAnsi="Times New Roman" w:cs="Times New Roman"/>
          <w:b w:val="0"/>
          <w:bCs w:val="0"/>
        </w:rPr>
        <w:t xml:space="preserve">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</w:t>
      </w:r>
      <w:r>
        <w:rPr>
          <w:rFonts w:ascii="Times New Roman" w:hAnsi="Times New Roman" w:cs="Times New Roman"/>
          <w:b w:val="0"/>
          <w:bCs w:val="0"/>
        </w:rPr>
        <w:t xml:space="preserve">вору, предусмотренного в пункте </w:t>
      </w:r>
      <w:hyperlink w:tooltip="#_В_случае_если" w:anchor="_В_случае_если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3.7.2</w:t>
        </w:r>
      </w:hyperlink>
      <w:r>
        <w:rPr>
          <w:rFonts w:ascii="Times New Roman" w:hAnsi="Times New Roman" w:cs="Times New Roman"/>
          <w:b w:val="0"/>
          <w:bCs w:val="0"/>
        </w:rPr>
        <w:t xml:space="preserve"> документации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закупки) подано аномальн</w:t>
      </w:r>
      <w:r>
        <w:rPr>
          <w:rFonts w:ascii="Times New Roman" w:hAnsi="Times New Roman" w:cs="Times New Roman"/>
          <w:b w:val="0"/>
          <w:bCs w:val="0"/>
        </w:rPr>
        <w:t xml:space="preserve">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2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5" w:name="_Toc25"/>
      <w:r>
        <w:rPr>
          <w:sz w:val="24"/>
          <w:szCs w:val="24"/>
        </w:rPr>
        <w:t xml:space="preserve">ПОДАЧА ЗАЯВОК НА УЧАСТИЕ В ЗАКУПКЕ</w:t>
      </w:r>
      <w:bookmarkEnd w:id="2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6" w:name="_Toc26"/>
      <w:r/>
      <w:bookmarkStart w:id="80" w:name="_Ref16624989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80"/>
      <w:r>
        <w:rPr>
          <w:sz w:val="24"/>
          <w:szCs w:val="24"/>
        </w:rPr>
        <w:t xml:space="preserve">закупке</w:t>
      </w:r>
      <w:bookmarkEnd w:id="23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7" w:name="_Toc27"/>
      <w:r/>
      <w:bookmarkStart w:id="82" w:name="_Ref119429670"/>
      <w:r>
        <w:rPr>
          <w:sz w:val="24"/>
          <w:szCs w:val="24"/>
        </w:rPr>
        <w:t xml:space="preserve">Изменения и отзыв заявок на участие в </w:t>
      </w:r>
      <w:bookmarkEnd w:id="82"/>
      <w:r>
        <w:rPr>
          <w:sz w:val="24"/>
          <w:szCs w:val="24"/>
        </w:rPr>
        <w:t xml:space="preserve">закупке</w:t>
      </w:r>
      <w:bookmarkEnd w:id="2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</w:t>
      </w:r>
      <w:r>
        <w:rPr>
          <w:rFonts w:ascii="Times New Roman" w:hAnsi="Times New Roman" w:cs="Times New Roman"/>
          <w:b w:val="0"/>
          <w:bCs w:val="0"/>
        </w:rPr>
        <w:t xml:space="preserve">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</w:t>
      </w:r>
      <w:r>
        <w:rPr>
          <w:rFonts w:ascii="Times New Roman" w:hAnsi="Times New Roman" w:cs="Times New Roman"/>
          <w:b w:val="0"/>
          <w:bCs w:val="0"/>
        </w:rPr>
        <w:t xml:space="preserve">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22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38" w:name="_Toc28"/>
      <w:r/>
      <w:bookmarkStart w:id="85" w:name="_Ref119430360"/>
      <w:r>
        <w:rPr>
          <w:sz w:val="24"/>
          <w:szCs w:val="24"/>
        </w:rPr>
        <w:t xml:space="preserve">ПОРЯДОК ПРОВЕДЕНИЯ ЗАКУПКИ</w:t>
      </w:r>
      <w:bookmarkEnd w:id="2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9" w:name="_Toc29"/>
      <w:r/>
      <w:bookmarkStart w:id="87" w:name="_Ref125827199"/>
      <w:r/>
      <w:bookmarkEnd w:id="85"/>
      <w:r>
        <w:rPr>
          <w:sz w:val="24"/>
          <w:szCs w:val="24"/>
        </w:rPr>
        <w:t xml:space="preserve">Закупочная комиссия</w:t>
      </w:r>
      <w:bookmarkEnd w:id="23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</w:t>
      </w:r>
      <w:r>
        <w:rPr>
          <w:rFonts w:ascii="Times New Roman" w:hAnsi="Times New Roman" w:cs="Times New Roman"/>
          <w:b w:val="0"/>
          <w:bCs w:val="0"/>
        </w:rPr>
        <w:t xml:space="preserve">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0" w:name="_Toc30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24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</w:t>
      </w:r>
      <w:r>
        <w:rPr>
          <w:rFonts w:ascii="Times New Roman" w:hAnsi="Times New Roman" w:cs="Times New Roman"/>
          <w:b w:val="0"/>
          <w:bCs w:val="0"/>
        </w:rPr>
        <w:t xml:space="preserve">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</w:t>
      </w:r>
      <w:r>
        <w:rPr>
          <w:rFonts w:ascii="Times New Roman" w:hAnsi="Times New Roman" w:cs="Times New Roman"/>
          <w:b w:val="0"/>
          <w:bCs w:val="0"/>
        </w:rPr>
        <w:t xml:space="preserve">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 вправе направить участнику закупки запрос на разъяснение положений заявки участника, </w:t>
      </w:r>
      <w:r>
        <w:rPr>
          <w:rFonts w:ascii="Times New Roman" w:hAnsi="Times New Roman" w:cs="Times New Roman"/>
          <w:b w:val="0"/>
          <w:bCs w:val="0"/>
        </w:rPr>
        <w:t xml:space="preserve">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документы и сведения, направленные участником в ходе исполнения запроса, которые изменяют сущ</w:t>
      </w:r>
      <w:r>
        <w:rPr>
          <w:rFonts w:ascii="Times New Roman" w:hAnsi="Times New Roman" w:cs="Times New Roman"/>
          <w:b w:val="0"/>
          <w:bCs w:val="0"/>
        </w:rPr>
        <w:t xml:space="preserve">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539"/>
        <w:numPr>
          <w:ilvl w:val="0"/>
          <w:numId w:val="10"/>
        </w:numPr>
        <w:ind w:left="0" w:firstLine="567"/>
        <w:jc w:val="both"/>
      </w:pPr>
      <w:r>
        <w:t xml:space="preserve">в случае отсутст</w:t>
      </w:r>
      <w:r>
        <w:t xml:space="preserve">вия в составе заявки документов и сведений, предусмотренных для предоставления в заявки, указанных в пункте </w:t>
      </w:r>
      <w:hyperlink w:tooltip="#_Сведения_и_документы," w:anchor="_Сведения_и" w:history="1">
        <w:r>
          <w:rPr>
            <w:rStyle w:val="1446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539"/>
        <w:numPr>
          <w:ilvl w:val="0"/>
          <w:numId w:val="10"/>
        </w:numPr>
        <w:ind w:left="0" w:firstLine="567"/>
        <w:jc w:val="both"/>
        <w:rPr>
          <w:rStyle w:val="1446"/>
          <w:color w:val="auto"/>
          <w:u w:val="none"/>
        </w:rPr>
      </w:pPr>
      <w:r>
        <w:t xml:space="preserve">несоответствие участника закупки, в том числ</w:t>
      </w:r>
      <w:r>
        <w:t xml:space="preserve">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446"/>
          </w:rPr>
          <w:t xml:space="preserve">1.4 части I «ОБЩИЕ УСЛОВИЯ ПРОВЕДЕНИЯ ЗАКУПКИ»</w:t>
        </w:r>
      </w:hyperlink>
      <w:r>
        <w:rPr>
          <w:rStyle w:val="1446"/>
          <w:color w:val="000000" w:themeColor="text1"/>
          <w:u w:val="none"/>
        </w:rPr>
        <w:t xml:space="preserve">;</w:t>
      </w:r>
      <w:r>
        <w:rPr>
          <w:rStyle w:val="1446"/>
          <w:color w:val="auto"/>
          <w:u w:val="none"/>
        </w:rPr>
      </w:r>
      <w:r>
        <w:rPr>
          <w:rStyle w:val="1446"/>
          <w:color w:val="auto"/>
          <w:u w:val="none"/>
        </w:rPr>
      </w:r>
    </w:p>
    <w:p>
      <w:pPr>
        <w:pStyle w:val="1539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</w:t>
      </w:r>
      <w:r>
        <w:t xml:space="preserve">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446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446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446"/>
          </w:rPr>
          <w:t xml:space="preserve">5 части II «ИНФОРМАЦИОННАЯ КАРТА ЗАКУПКИ»</w:t>
        </w:r>
      </w:hyperlink>
      <w:r>
        <w:rPr>
          <w:rStyle w:val="1446"/>
          <w:color w:val="000000" w:themeColor="text1"/>
          <w:u w:val="none"/>
        </w:rPr>
        <w:t xml:space="preserve">;</w:t>
      </w:r>
      <w:r/>
    </w:p>
    <w:p>
      <w:pPr>
        <w:pStyle w:val="1539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539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</w:t>
      </w:r>
      <w:r>
        <w:rPr>
          <w:bCs/>
        </w:rPr>
        <w:t xml:space="preserve">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446"/>
          </w:rPr>
          <w:t xml:space="preserve">11 части II «ИНФОРМАЦИОННАЯ КА</w:t>
        </w:r>
        <w:r>
          <w:rPr>
            <w:rStyle w:val="1446"/>
          </w:rPr>
          <w:t xml:space="preserve">РТА ЗАКУПКИ»</w:t>
        </w:r>
      </w:hyperlink>
      <w:r>
        <w:rPr>
          <w:rStyle w:val="1446"/>
          <w:color w:val="000000" w:themeColor="text1"/>
          <w:u w:val="none"/>
        </w:rPr>
        <w:t xml:space="preserve">);</w:t>
      </w:r>
      <w:r/>
    </w:p>
    <w:p>
      <w:pPr>
        <w:pStyle w:val="1539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установленную в пункте </w:t>
      </w:r>
      <w:hyperlink w:tooltip="#_Сведения_о_начальной" w:anchor="_Сведения_о" w:history="1">
        <w:r>
          <w:rPr>
            <w:rStyle w:val="1446"/>
          </w:rPr>
          <w:t xml:space="preserve">7 части II «ИНФОРМАЦИОННАЯ КАРТА ЗАКУПКИ»</w:t>
        </w:r>
      </w:hyperlink>
      <w:r>
        <w:t xml:space="preserve"> начальную (максимальную) цену договора (цену лота), в случае непредставления документ</w:t>
      </w:r>
      <w:r>
        <w:t xml:space="preserve">ов и сведений, предусмотренных для предоставления в составе ценового предложения, указанных в </w:t>
      </w:r>
      <w:hyperlink w:tooltip="#_Сведения_и_документы," w:anchor="_Сведения_и_документы," w:history="1">
        <w:r>
          <w:t xml:space="preserve">пункте </w:t>
        </w:r>
        <w:r>
          <w:rPr>
            <w:rStyle w:val="1446"/>
          </w:rPr>
          <w:t xml:space="preserve">17 части II «ИНФОРМАЦИОННАЯ КАРТА ЗАКУПКИ»</w:t>
        </w:r>
      </w:hyperlink>
      <w:r>
        <w:rPr>
          <w:color w:val="0000ff"/>
        </w:rPr>
        <w:t xml:space="preserve">.</w:t>
      </w:r>
      <w:r/>
    </w:p>
    <w:p>
      <w:pPr>
        <w:pStyle w:val="1539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</w:t>
      </w:r>
      <w:r>
        <w:t xml:space="preserve">ведений.</w:t>
      </w:r>
      <w:r/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</w:t>
      </w:r>
      <w:r>
        <w:rPr>
          <w:rFonts w:ascii="Times New Roman" w:hAnsi="Times New Roman" w:cs="Times New Roman"/>
          <w:b w:val="0"/>
          <w:bCs w:val="0"/>
        </w:rPr>
        <w:t xml:space="preserve">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</w:t>
      </w:r>
      <w:r>
        <w:rPr>
          <w:rFonts w:ascii="Times New Roman" w:hAnsi="Times New Roman" w:cs="Times New Roman"/>
          <w:b w:val="0"/>
          <w:bCs w:val="0"/>
        </w:rPr>
        <w:t xml:space="preserve">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</w:t>
      </w:r>
      <w:r>
        <w:rPr>
          <w:rFonts w:ascii="Times New Roman" w:hAnsi="Times New Roman" w:cs="Times New Roman"/>
          <w:b w:val="0"/>
          <w:bCs w:val="0"/>
        </w:rPr>
        <w:t xml:space="preserve">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9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9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</w:t>
      </w:r>
      <w:r>
        <w:rPr>
          <w:rFonts w:ascii="Times New Roman" w:hAnsi="Times New Roman" w:cs="Times New Roman"/>
        </w:rPr>
        <w:t xml:space="preserve">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</w:t>
      </w:r>
      <w:r>
        <w:rPr>
          <w:rFonts w:ascii="Times New Roman" w:hAnsi="Times New Roman" w:cs="Times New Roman"/>
          <w:b w:val="0"/>
          <w:bCs w:val="0"/>
        </w:rPr>
        <w:t xml:space="preserve">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</w:t>
      </w:r>
      <w:r>
        <w:rPr>
          <w:rFonts w:ascii="Times New Roman" w:hAnsi="Times New Roman" w:cs="Times New Roman"/>
          <w:b w:val="0"/>
          <w:bCs w:val="0"/>
        </w:rPr>
        <w:t xml:space="preserve">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1" w:name="_Toc31"/>
      <w:r>
        <w:rPr>
          <w:sz w:val="24"/>
          <w:szCs w:val="24"/>
        </w:rPr>
        <w:t xml:space="preserve">Критерии оценки заявок участников закупки</w:t>
      </w:r>
      <w:bookmarkEnd w:id="24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П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оценку и сопоставление заявок на участие в заку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</w:t>
      </w:r>
      <w:r>
        <w:rPr>
          <w:rFonts w:ascii="Times New Roman" w:hAnsi="Times New Roman" w:cs="Times New Roman"/>
          <w:b w:val="0"/>
          <w:bCs w:val="0"/>
        </w:rPr>
        <w:t xml:space="preserve">х проведения этапов закупки, установленных в пункте </w:t>
      </w:r>
      <w:hyperlink w:tooltip="#_Дата_рассмотрения_предложений" w:anchor="_Дата_рассмотрения_предложений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</w:t>
      </w:r>
      <w:r>
        <w:rPr>
          <w:rFonts w:ascii="Times New Roman" w:hAnsi="Times New Roman" w:cs="Times New Roman"/>
          <w:b w:val="0"/>
          <w:bCs w:val="0"/>
        </w:rPr>
        <w:t xml:space="preserve">направляемых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</w:t>
      </w:r>
      <w:r>
        <w:rPr>
          <w:rFonts w:ascii="Times New Roman" w:hAnsi="Times New Roman" w:cs="Times New Roman"/>
          <w:b w:val="0"/>
          <w:bCs w:val="0"/>
        </w:rPr>
        <w:t xml:space="preserve">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</w:t>
      </w:r>
      <w:r>
        <w:rPr>
          <w:rFonts w:ascii="Times New Roman" w:hAnsi="Times New Roman" w:cs="Times New Roman"/>
          <w:b w:val="0"/>
          <w:bCs w:val="0"/>
        </w:rPr>
        <w:t xml:space="preserve">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</w:t>
      </w:r>
      <w:r>
        <w:rPr>
          <w:rFonts w:ascii="Times New Roman" w:hAnsi="Times New Roman" w:cs="Times New Roman"/>
          <w:b w:val="0"/>
          <w:bCs w:val="0"/>
        </w:rPr>
        <w:t xml:space="preserve">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</w:t>
      </w:r>
      <w:r>
        <w:rPr>
          <w:rFonts w:ascii="Times New Roman" w:hAnsi="Times New Roman" w:cs="Times New Roman"/>
          <w:b w:val="0"/>
        </w:rPr>
        <w:t xml:space="preserve">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2" w:name="_Toc32"/>
      <w:r>
        <w:rPr>
          <w:sz w:val="24"/>
          <w:szCs w:val="24"/>
        </w:rPr>
        <w:t xml:space="preserve">Особенности осуществления рассмотрения общих частей заявок.</w:t>
      </w:r>
      <w:bookmarkEnd w:id="2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общие части заявок участников на предмет их соответствия требованиям, установленны</w:t>
      </w:r>
      <w:r>
        <w:rPr>
          <w:rFonts w:ascii="Times New Roman" w:hAnsi="Times New Roman" w:cs="Times New Roman"/>
          <w:b w:val="0"/>
          <w:bCs w:val="0"/>
        </w:rPr>
        <w:t xml:space="preserve">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общих частей заявок по следующим основаниям: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539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общей части заявки документов и сведений, предусмотренных для предоставления в общей части заявки, указанных в пункте </w:t>
      </w:r>
      <w:hyperlink w:tooltip="#_Сведения_и_документы," w:anchor="_Сведения_и" w:history="1">
        <w:r>
          <w:rPr>
            <w:rStyle w:val="1446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539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</w:t>
      </w:r>
      <w:r>
        <w:t xml:space="preserve">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446"/>
          </w:rPr>
          <w:t xml:space="preserve">1.4 части I «ОБЩИЕ УСЛОВИЯ ПРОВЕДЕНИ</w:t>
        </w:r>
        <w:r>
          <w:rPr>
            <w:rStyle w:val="1446"/>
          </w:rPr>
          <w:t xml:space="preserve">Я ЗАКУПКИ»</w:t>
        </w:r>
      </w:hyperlink>
      <w:r>
        <w:t xml:space="preserve">;</w:t>
      </w:r>
      <w:r/>
    </w:p>
    <w:p>
      <w:pPr>
        <w:pStyle w:val="1539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446"/>
          </w:rPr>
          <w:t xml:space="preserve">3 части II «ИН</w:t>
        </w:r>
        <w:r>
          <w:rPr>
            <w:rStyle w:val="1446"/>
          </w:rPr>
          <w:t xml:space="preserve">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446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446"/>
          </w:rPr>
          <w:t xml:space="preserve">5 части II «ИНФОРМАЦИОННАЯ КАРТА ЗАКУП</w:t>
        </w:r>
        <w:r>
          <w:rPr>
            <w:rStyle w:val="1446"/>
          </w:rPr>
          <w:t xml:space="preserve">КИ»</w:t>
        </w:r>
      </w:hyperlink>
      <w:r>
        <w:t xml:space="preserve">;</w:t>
      </w:r>
      <w:r/>
    </w:p>
    <w:p>
      <w:pPr>
        <w:pStyle w:val="1539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446"/>
          </w:rPr>
          <w:t xml:space="preserve">11 части II «ИНФОРМАЦИОННАЯ КАРТА ЗАКУПКИ»</w:t>
        </w:r>
      </w:hyperlink>
      <w:r>
        <w:rPr>
          <w:rStyle w:val="1446"/>
          <w:color w:val="000000" w:themeColor="text1"/>
          <w:u w:val="none"/>
        </w:rPr>
        <w:t xml:space="preserve">);</w:t>
      </w:r>
      <w:r/>
    </w:p>
    <w:p>
      <w:pPr>
        <w:pStyle w:val="1539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</w:t>
      </w:r>
      <w:r>
        <w:rPr>
          <w:bCs/>
        </w:rPr>
        <w:t xml:space="preserve">тветствия по сроку действия оферты;</w:t>
      </w:r>
      <w:r/>
    </w:p>
    <w:p>
      <w:pPr>
        <w:pStyle w:val="1539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3" w:name="_Toc33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bookmarkEnd w:id="2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</w:t>
      </w:r>
      <w:r>
        <w:rPr>
          <w:rFonts w:ascii="Times New Roman" w:hAnsi="Times New Roman" w:cs="Times New Roman"/>
          <w:b w:val="0"/>
          <w:bCs w:val="0"/>
        </w:rPr>
        <w:t xml:space="preserve">ляется Закупочной комиссией после направления оператором ЭТП результатов </w:t>
      </w:r>
      <w:r>
        <w:rPr>
          <w:rFonts w:ascii="Times New Roman" w:hAnsi="Times New Roman" w:cs="Times New Roman"/>
          <w:b w:val="0"/>
          <w:bCs w:val="0"/>
        </w:rPr>
        <w:t xml:space="preserve">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</w:t>
      </w:r>
      <w:r>
        <w:rPr>
          <w:rFonts w:ascii="Times New Roman" w:hAnsi="Times New Roman" w:cs="Times New Roman"/>
          <w:b w:val="0"/>
          <w:bCs w:val="0"/>
        </w:rPr>
        <w:t xml:space="preserve">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такое требование установлено в документации о закупке).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</w:t>
      </w:r>
      <w:r>
        <w:rPr>
          <w:rFonts w:ascii="Times New Roman" w:hAnsi="Times New Roman" w:cs="Times New Roman"/>
          <w:b w:val="0"/>
          <w:bCs w:val="0"/>
        </w:rPr>
        <w:t xml:space="preserve">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</w:t>
      </w:r>
      <w:r>
        <w:rPr>
          <w:rFonts w:ascii="Times New Roman" w:hAnsi="Times New Roman" w:cs="Times New Roman"/>
          <w:b w:val="0"/>
          <w:bCs w:val="0"/>
        </w:rPr>
        <w:t xml:space="preserve">льную) цену договора (цену лота),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4" w:name="_Toc34"/>
      <w:r>
        <w:rPr>
          <w:sz w:val="24"/>
          <w:szCs w:val="24"/>
        </w:rPr>
        <w:t xml:space="preserve">Переторж</w:t>
      </w:r>
      <w:r>
        <w:rPr>
          <w:sz w:val="24"/>
          <w:szCs w:val="24"/>
        </w:rPr>
        <w:t xml:space="preserve">ка</w:t>
      </w:r>
      <w:bookmarkEnd w:id="24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</w:t>
      </w:r>
      <w:r>
        <w:rPr>
          <w:rFonts w:ascii="Times New Roman" w:hAnsi="Times New Roman" w:cs="Times New Roman"/>
          <w:b w:val="0"/>
        </w:rPr>
        <w:t xml:space="preserve">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</w:t>
      </w:r>
      <w:r>
        <w:rPr>
          <w:rFonts w:ascii="Times New Roman" w:hAnsi="Times New Roman" w:cs="Times New Roman"/>
          <w:b w:val="0"/>
        </w:rPr>
        <w:t xml:space="preserve">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</w:t>
      </w:r>
      <w:r>
        <w:rPr>
          <w:rFonts w:ascii="Times New Roman" w:hAnsi="Times New Roman" w:cs="Times New Roman"/>
          <w:b w:val="0"/>
        </w:rPr>
        <w:t xml:space="preserve">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</w:t>
      </w:r>
      <w:r>
        <w:rPr>
          <w:rFonts w:ascii="Times New Roman" w:hAnsi="Times New Roman" w:cs="Times New Roman"/>
          <w:b w:val="0"/>
        </w:rPr>
        <w:t xml:space="preserve">ие (в случае если предоставление документов, определяющих их коммерческое предложение, предусмотрен</w:t>
      </w:r>
      <w:r>
        <w:rPr>
          <w:rFonts w:ascii="Times New Roman" w:hAnsi="Times New Roman" w:cs="Times New Roman"/>
          <w:b w:val="0"/>
          <w:bCs w:val="0"/>
        </w:rPr>
        <w:t xml:space="preserve">о в  пункте </w:t>
      </w:r>
      <w:hyperlink w:tooltip="#_Сведения_и_документы," w:anchor="_Сведения_и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  <w:bCs w:val="0"/>
          </w:rPr>
          <w:t xml:space="preserve">в пу</w:t>
        </w:r>
        <w:r>
          <w:rPr>
            <w:rFonts w:ascii="Times New Roman" w:hAnsi="Times New Roman" w:cs="Times New Roman"/>
            <w:b w:val="0"/>
            <w:bCs w:val="0"/>
          </w:rPr>
          <w:t xml:space="preserve">нкте 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первой процедуры переторжки (время ожидания ценовых предложений) указывается Заказчиком в  пункте </w:t>
      </w:r>
      <w:hyperlink w:tooltip="#_Порядок,_д" w:anchor="_Порядок,_д" w:history="1">
        <w:r>
          <w:rPr>
            <w:rStyle w:val="1446"/>
            <w:rFonts w:ascii="Times New Roman" w:hAnsi="Times New Roman" w:cs="Times New Roman"/>
            <w:b w:val="0"/>
          </w:rPr>
          <w:t xml:space="preserve">9 части II </w:t>
        </w:r>
        <w:r>
          <w:rPr>
            <w:rStyle w:val="1446"/>
            <w:rFonts w:ascii="Times New Roman" w:hAnsi="Times New Roman" w:cs="Times New Roman"/>
            <w:b w:val="0"/>
          </w:rPr>
          <w:t xml:space="preserve">«</w:t>
        </w:r>
        <w:r>
          <w:rPr>
            <w:rStyle w:val="1446"/>
            <w:rFonts w:ascii="Times New Roman" w:hAnsi="Times New Roman" w:cs="Times New Roman"/>
            <w:b w:val="0"/>
          </w:rPr>
          <w:t xml:space="preserve">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Дата и время проведения процедур переторжки (повторных переторжек) указывается на сайте электронной площадки, информация о чем доводится до сведения участников закупки средствами ЭТП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</w:t>
      </w:r>
      <w:r>
        <w:rPr>
          <w:rFonts w:ascii="Times New Roman" w:hAnsi="Times New Roman" w:cs="Times New Roman"/>
          <w:b w:val="0"/>
          <w:bCs w:val="0"/>
        </w:rPr>
        <w:t xml:space="preserve">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5" w:name="_Toc35"/>
      <w:r>
        <w:rPr>
          <w:sz w:val="24"/>
          <w:szCs w:val="24"/>
        </w:rPr>
        <w:t xml:space="preserve">Подведение итогов</w:t>
      </w:r>
      <w:bookmarkEnd w:id="2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</w:t>
      </w:r>
      <w:r>
        <w:rPr>
          <w:rFonts w:ascii="Times New Roman" w:hAnsi="Times New Roman" w:cs="Times New Roman"/>
          <w:b w:val="0"/>
        </w:rPr>
        <w:t xml:space="preserve">купки осуществляются Закупочной комиссией в сроки, установленные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</w:rPr>
          <w:t xml:space="preserve">в  пункте </w:t>
        </w:r>
        <w:r>
          <w:rPr>
            <w:rStyle w:val="1446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</w:t>
      </w:r>
      <w:r>
        <w:rPr>
          <w:rFonts w:ascii="Times New Roman" w:hAnsi="Times New Roman" w:cs="Times New Roman"/>
          <w:b w:val="0"/>
        </w:rPr>
        <w:t xml:space="preserve">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Приложении № 1 части II «ИНФОРМ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Заказчиком, применяют</w:t>
      </w:r>
      <w:r>
        <w:rPr>
          <w:rFonts w:ascii="Times New Roman" w:hAnsi="Times New Roman" w:cs="Times New Roman"/>
          <w:b w:val="0"/>
          <w:bCs w:val="0"/>
        </w:rPr>
        <w:t xml:space="preserve">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</w:t>
      </w:r>
      <w:r>
        <w:rPr>
          <w:rFonts w:ascii="Times New Roman" w:hAnsi="Times New Roman" w:cs="Times New Roman"/>
          <w:b w:val="0"/>
          <w:bCs w:val="0"/>
        </w:rPr>
        <w:t xml:space="preserve">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</w:t>
      </w:r>
      <w:r>
        <w:rPr>
          <w:rFonts w:ascii="Times New Roman" w:hAnsi="Times New Roman" w:cs="Times New Roman"/>
          <w:b w:val="0"/>
        </w:rPr>
        <w:t xml:space="preserve">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</w:t>
      </w:r>
      <w:r>
        <w:rPr>
          <w:rFonts w:ascii="Times New Roman" w:hAnsi="Times New Roman" w:cs="Times New Roman"/>
          <w:b w:val="0"/>
          <w:bCs w:val="0"/>
        </w:rPr>
        <w:t xml:space="preserve">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результаты оценки заявок на участие в закупке с указанием итогового решения Закупочной комиссии о соответствии таких заявок требованиям доку</w:t>
      </w:r>
      <w:r>
        <w:rPr>
          <w:rFonts w:ascii="Times New Roman" w:hAnsi="Times New Roman" w:cs="Times New Roman"/>
          <w:b w:val="0"/>
        </w:rPr>
        <w:t xml:space="preserve">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</w:t>
      </w:r>
      <w:r>
        <w:rPr>
          <w:rFonts w:ascii="Times New Roman" w:hAnsi="Times New Roman" w:cs="Times New Roman"/>
          <w:b w:val="0"/>
          <w:bCs w:val="0"/>
        </w:rPr>
        <w:t xml:space="preserve">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</w:t>
      </w:r>
      <w:r>
        <w:rPr>
          <w:rFonts w:ascii="Times New Roman" w:hAnsi="Times New Roman" w:cs="Times New Roman"/>
          <w:b w:val="0"/>
          <w:bCs w:val="0"/>
        </w:rPr>
        <w:t xml:space="preserve">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6" w:name="_Toc36"/>
      <w:r>
        <w:rPr>
          <w:sz w:val="24"/>
          <w:szCs w:val="24"/>
        </w:rPr>
        <w:t xml:space="preserve">Признание закупки несостоявшейся</w:t>
      </w:r>
      <w:bookmarkEnd w:id="2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</w:t>
      </w:r>
      <w:r>
        <w:rPr>
          <w:rFonts w:ascii="Times New Roman" w:hAnsi="Times New Roman" w:cs="Times New Roman"/>
          <w:b w:val="0"/>
          <w:bCs w:val="0"/>
        </w:rPr>
        <w:t xml:space="preserve">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7" w:name="_Toc37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24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>
        <w:t xml:space="preserve">В случае необходимости, после завершения процедуры закупк</w:t>
      </w:r>
      <w:r>
        <w:t xml:space="preserve">и участник вправе направить в адрес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</w:t>
      </w:r>
      <w:r>
        <w:t xml:space="preserve">мента получения такого запроса.</w:t>
      </w:r>
      <w:r/>
    </w:p>
    <w:p>
      <w:r/>
      <w:r/>
    </w:p>
    <w:p>
      <w:pPr>
        <w:pStyle w:val="122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48" w:name="_Toc38"/>
      <w:r/>
      <w:bookmarkStart w:id="96" w:name="Par110"/>
      <w:r/>
      <w:bookmarkStart w:id="97" w:name="Par144"/>
      <w:r/>
      <w:bookmarkEnd w:id="87"/>
      <w:r/>
      <w:bookmarkEnd w:id="96"/>
      <w:r/>
      <w:bookmarkEnd w:id="97"/>
      <w:r>
        <w:rPr>
          <w:sz w:val="24"/>
          <w:szCs w:val="24"/>
        </w:rPr>
        <w:t xml:space="preserve">ЗАКЛЮЧЕНИЕ, ИЗМЕНЕНИЕ И РАСТОРЖЕНИЕ ДОГОВОРА</w:t>
      </w:r>
      <w:bookmarkEnd w:id="24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9" w:name="_Toc39"/>
      <w:r/>
      <w:bookmarkStart w:id="99" w:name="_Обеспечения_исполнения_договора,"/>
      <w:r/>
      <w:bookmarkStart w:id="101" w:name="_Ref130891676"/>
      <w:r/>
      <w:bookmarkEnd w:id="99"/>
      <w:r>
        <w:rPr>
          <w:sz w:val="24"/>
          <w:szCs w:val="24"/>
        </w:rPr>
        <w:t xml:space="preserve">Срок и порядок заключения договора</w:t>
      </w:r>
      <w:bookmarkEnd w:id="101"/>
      <w:r/>
      <w:bookmarkEnd w:id="2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</w:t>
      </w:r>
      <w:r>
        <w:rPr>
          <w:rFonts w:ascii="Times New Roman" w:hAnsi="Times New Roman" w:cs="Times New Roman"/>
          <w:b w:val="0"/>
        </w:rPr>
        <w:t xml:space="preserve">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</w:t>
      </w:r>
      <w:r>
        <w:rPr>
          <w:rFonts w:ascii="Times New Roman" w:hAnsi="Times New Roman" w:cs="Times New Roman"/>
          <w:b w:val="0"/>
        </w:rPr>
        <w:t xml:space="preserve"> </w:t>
      </w:r>
      <w:hyperlink r:id="rId27" w:tooltip="https://www.consultant.ru/document/cons_doc_LAW_494318/92d969e26a4326c5d02fa79b8f9cf4994ee5633b/" w:history="1">
        <w:r>
          <w:rPr>
            <w:rStyle w:val="1446"/>
            <w:rFonts w:ascii="Times New Roman" w:hAnsi="Times New Roman" w:cs="Times New Roman"/>
            <w:b w:val="0"/>
          </w:rPr>
          <w:t xml:space="preserve">постановления Правительства РФ от 23.12.</w:t>
        </w:r>
        <w:r>
          <w:rPr>
            <w:rStyle w:val="1446"/>
            <w:rFonts w:ascii="Times New Roman" w:hAnsi="Times New Roman" w:cs="Times New Roman"/>
            <w:b w:val="0"/>
          </w:rPr>
          <w:t xml:space="preserve">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 запрет закупки работ, услуг, соответственно выполняемых, оказываемых </w:t>
      </w:r>
      <w:r>
        <w:rPr>
          <w:rFonts w:ascii="Times New Roman" w:hAnsi="Times New Roman" w:cs="Times New Roman"/>
          <w:b w:val="0"/>
        </w:rPr>
        <w:t xml:space="preserve">иностранным лицом, то не допускается заключение договора на выпо</w:t>
      </w:r>
      <w:r>
        <w:rPr>
          <w:rFonts w:ascii="Times New Roman" w:hAnsi="Times New Roman" w:cs="Times New Roman"/>
          <w:b w:val="0"/>
        </w:rPr>
        <w:t xml:space="preserve">лнение такой работы, оказание такой услуги с подрядчиком (исполнителем), являющимся иностранным лицом.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Style w:val="1446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 устано</w:t>
      </w:r>
      <w:r>
        <w:rPr>
          <w:rFonts w:ascii="Times New Roman" w:hAnsi="Times New Roman" w:cs="Times New Roman"/>
          <w:b w:val="0"/>
        </w:rPr>
        <w:t xml:space="preserve">влено ограничение закупки работ, услуг, соответственно выполняемых, оказываемых иностранным лицом, то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</w:t>
      </w:r>
      <w:r>
        <w:rPr>
          <w:rFonts w:ascii="Times New Roman" w:hAnsi="Times New Roman" w:cs="Times New Roman"/>
          <w:b w:val="0"/>
        </w:rPr>
        <w:t xml:space="preserve">ьное предложение,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</w:t>
      </w:r>
      <w:r>
        <w:rPr>
          <w:rFonts w:ascii="Times New Roman" w:hAnsi="Times New Roman" w:cs="Times New Roman"/>
          <w:b w:val="0"/>
        </w:rPr>
        <w:t xml:space="preserve">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" w:anchor="_Право_зака" w:history="1">
        <w:r>
          <w:rPr>
            <w:rStyle w:val="1446"/>
            <w:rFonts w:ascii="Times New Roman" w:hAnsi="Times New Roman" w:cs="Times New Roman"/>
            <w:b w:val="0"/>
          </w:rPr>
          <w:t xml:space="preserve">23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/>
      <w:bookmarkStart w:id="102" w:name="_6.1.5._Поб"/>
      <w:r/>
      <w:bookmarkStart w:id="103" w:name="_Победитель_закупки_(либо"/>
      <w:r/>
      <w:bookmarkEnd w:id="102"/>
      <w:r/>
      <w:bookmarkEnd w:id="103"/>
      <w:r>
        <w:rPr>
          <w:rFonts w:ascii="Times New Roman" w:hAnsi="Times New Roman" w:cs="Times New Roman"/>
          <w:b w:val="0"/>
        </w:rPr>
        <w:t xml:space="preserve">Победитель закупки (либо единственный участник, признанный соответствующим требованиям документации о закупке) обязан в течение 3 (трех) рабочих дней, с даты размещения итогового проток</w:t>
      </w:r>
      <w:r>
        <w:rPr>
          <w:rFonts w:ascii="Times New Roman" w:hAnsi="Times New Roman" w:cs="Times New Roman"/>
          <w:b w:val="0"/>
        </w:rPr>
        <w:t xml:space="preserve">ола в ЕИС,  направить по электронной почте лицу ответственному за заключение договора и указанному </w:t>
      </w:r>
      <w:r>
        <w:rPr>
          <w:rFonts w:ascii="Times New Roman" w:hAnsi="Times New Roman" w:cs="Times New Roman"/>
          <w:b w:val="0"/>
          <w:highlight w:val="white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Наименование,_место_нахождения," w:anchor="_Наименование,_место_нахождения," w:history="1">
        <w:r>
          <w:rPr>
            <w:rStyle w:val="1446"/>
            <w:rFonts w:ascii="Times New Roman" w:hAnsi="Times New Roman" w:cs="Times New Roman"/>
            <w:b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, заполненные пр</w:t>
      </w:r>
      <w:r>
        <w:rPr>
          <w:rFonts w:ascii="Times New Roman" w:hAnsi="Times New Roman" w:cs="Times New Roman"/>
          <w:b w:val="0"/>
        </w:rPr>
        <w:t xml:space="preserve">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заполненное </w:t>
      </w: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  <w:b w:val="0"/>
        </w:rPr>
        <w:t xml:space="preserve"> к закупочной документации. При этом общая итоговая стоимость не должна превышать окончательную цену заяв</w:t>
      </w:r>
      <w:r>
        <w:rPr>
          <w:rFonts w:ascii="Times New Roman" w:hAnsi="Times New Roman" w:cs="Times New Roman"/>
          <w:b w:val="0"/>
        </w:rPr>
        <w:t xml:space="preserve">ки Победителя (либо единственного участника, признанного соответствующим требованиям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</w:t>
      </w:r>
      <w:r>
        <w:rPr>
          <w:rFonts w:ascii="Times New Roman" w:hAnsi="Times New Roman" w:cs="Times New Roman"/>
          <w:b w:val="0"/>
        </w:rPr>
        <w:t xml:space="preserve">ставки 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</w:rPr>
        <w:t xml:space="preserve"> не в праве превышать единичные расценки, указанные в Приложении № 2 к части II «ИНФОРМАЦИОННАЯ КАРТА ЗАКУПКИ»</w:t>
      </w:r>
      <w:r>
        <w:rPr>
          <w:rStyle w:val="1446"/>
          <w:rFonts w:ascii="Times New Roman" w:hAnsi="Times New Roman"/>
          <w:b w:val="0"/>
          <w:u w:val="non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единственный участник, призн</w:t>
      </w:r>
      <w:r>
        <w:rPr>
          <w:rFonts w:ascii="Times New Roman" w:hAnsi="Times New Roman" w:cs="Times New Roman"/>
          <w:b w:val="0"/>
        </w:rPr>
        <w:t xml:space="preserve">анный соответствующим требованиям документации о закупке), не предоставит в течение 3 (трех) рабочих дней с даты размещения в ЕИС итогового протокола заполненные приложения к договору, содержащие информацию о цене, а также сроках поставки товара/выполнения</w:t>
      </w:r>
      <w:r>
        <w:rPr>
          <w:rFonts w:ascii="Times New Roman" w:hAnsi="Times New Roman" w:cs="Times New Roman"/>
          <w:b w:val="0"/>
        </w:rPr>
        <w:t xml:space="preserve"> работ/оказании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5._Поб" w:history="1">
        <w:r>
          <w:rPr>
            <w:rStyle w:val="1446"/>
            <w:rFonts w:ascii="Times New Roman" w:hAnsi="Times New Roman" w:cs="Times New Roman"/>
            <w:b w:val="0"/>
          </w:rPr>
          <w:t xml:space="preserve">6.1.5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сформированы Заказчиком самостоятельно, а стоимость кажд</w:t>
      </w:r>
      <w:r>
        <w:rPr>
          <w:rFonts w:ascii="Times New Roman" w:hAnsi="Times New Roman" w:cs="Times New Roman"/>
          <w:b w:val="0"/>
        </w:rPr>
        <w:t xml:space="preserve">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1" w:anchor="_Приложение_1" w:history="1">
        <w:r>
          <w:rPr>
            <w:rStyle w:val="1446"/>
            <w:rFonts w:ascii="Times New Roman" w:hAnsi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before="120"/>
        <w:tabs>
          <w:tab w:val="left" w:pos="459" w:leader="none"/>
        </w:tabs>
      </w:pPr>
      <w:r>
        <w:t xml:space="preserve">Понижающий коэффициент рассчитыв</w:t>
      </w:r>
      <w:r>
        <w:t xml:space="preserve">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539"/>
        <w:ind w:left="0" w:firstLine="567"/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539"/>
        <w:ind w:left="0" w:firstLine="567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539"/>
        <w:ind w:left="0" w:firstLine="567"/>
        <w:jc w:val="right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протокола, в том числе посредством использования программно-аппаратных средств ЭТП. В случае необходимос</w:t>
      </w:r>
      <w:r>
        <w:rPr>
          <w:rFonts w:ascii="Times New Roman" w:hAnsi="Times New Roman" w:cs="Times New Roman"/>
          <w:b w:val="0"/>
        </w:rPr>
        <w:t xml:space="preserve">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</w:t>
      </w:r>
      <w:r>
        <w:rPr>
          <w:rFonts w:ascii="Times New Roman" w:hAnsi="Times New Roman" w:cs="Times New Roman"/>
          <w:b w:val="0"/>
        </w:rPr>
        <w:t xml:space="preserve">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</w:t>
      </w:r>
      <w:r>
        <w:rPr>
          <w:rFonts w:ascii="Times New Roman" w:hAnsi="Times New Roman" w:cs="Times New Roman"/>
          <w:b w:val="0"/>
          <w:bCs w:val="0"/>
        </w:rPr>
        <w:t xml:space="preserve">ии документа) подписанный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</w:t>
      </w:r>
      <w:r>
        <w:rPr>
          <w:rFonts w:ascii="Times New Roman" w:hAnsi="Times New Roman" w:cs="Times New Roman"/>
          <w:b w:val="0"/>
          <w:bCs w:val="0"/>
        </w:rPr>
        <w:t xml:space="preserve"> в течение 3 (трех) рабочих дней и направляет его Заказчику.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</w:t>
      </w:r>
      <w:r>
        <w:rPr>
          <w:rFonts w:ascii="Times New Roman" w:hAnsi="Times New Roman" w:cs="Times New Roman"/>
          <w:b w:val="0"/>
          <w:bCs w:val="0"/>
        </w:rPr>
        <w:t xml:space="preserve">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</w:t>
      </w:r>
      <w:r>
        <w:rPr>
          <w:rFonts w:ascii="Times New Roman" w:hAnsi="Times New Roman" w:cs="Times New Roman"/>
          <w:b w:val="0"/>
          <w:bCs w:val="0"/>
        </w:rPr>
        <w:t xml:space="preserve">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</w:t>
      </w:r>
      <w:r>
        <w:rPr>
          <w:rFonts w:ascii="Times New Roman" w:hAnsi="Times New Roman" w:cs="Times New Roman"/>
          <w:b w:val="0"/>
          <w:bCs w:val="0"/>
        </w:rPr>
        <w:t xml:space="preserve">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участником, обеспечивает подписание такого дог</w:t>
      </w:r>
      <w:r>
        <w:rPr>
          <w:rFonts w:ascii="Times New Roman" w:hAnsi="Times New Roman" w:cs="Times New Roman"/>
          <w:b w:val="0"/>
          <w:bCs w:val="0"/>
        </w:rPr>
        <w:t xml:space="preserve">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ФОРМА_15._Справка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IV «П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является существенным условием и не части изменению при проведении преддоговорных переговоров (в случае их проведения). Направление протокола разногласий к договору об изменении подсудности разрешения споров по догово</w:t>
      </w:r>
      <w:r>
        <w:rPr>
          <w:rFonts w:ascii="Times New Roman" w:hAnsi="Times New Roman" w:cs="Times New Roman"/>
          <w:b w:val="0"/>
          <w:bCs w:val="0"/>
        </w:rPr>
        <w:t xml:space="preserve">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0" w:name="_Toc40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25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</w:t>
      </w:r>
      <w:r>
        <w:rPr>
          <w:rFonts w:ascii="Times New Roman" w:hAnsi="Times New Roman" w:cs="Times New Roman"/>
          <w:b w:val="0"/>
          <w:bCs w:val="0"/>
        </w:rPr>
        <w:t xml:space="preserve">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21 части 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спечения_исполнения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21 ча</w:t>
        </w:r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для лиц, указанных в п.6.2.5 -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</w:t>
      </w:r>
      <w:r>
        <w:rPr>
          <w:rFonts w:ascii="Times New Roman" w:hAnsi="Times New Roman" w:cs="Times New Roman"/>
          <w:b w:val="0"/>
          <w:bCs w:val="0"/>
        </w:rPr>
        <w:t xml:space="preserve">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вв части </w:t>
      </w:r>
      <w:hyperlink w:tooltip="#_ФОРМА_15._Справка" w:anchor="_ФОРМА_15._Справка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Style w:val="1446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</w:t>
      </w:r>
      <w:r>
        <w:rPr>
          <w:rFonts w:ascii="Times New Roman" w:hAnsi="Times New Roman" w:cs="Times New Roman"/>
          <w:b w:val="0"/>
          <w:bCs w:val="0"/>
        </w:rPr>
        <w:t xml:space="preserve">енные в качестве обеспечения исполнения договора возвращаются участнику в сроки, указанные в части </w:t>
      </w:r>
      <w:hyperlink w:tooltip="#_ФОРМА_15._Справка" w:anchor="_ФОРМА_15._Справка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/>
      <w:hyperlink w:tooltip="#_ПРОЕКТ_ДОГОВОРА" w:anchor="_ПРОЕКТ_ДОГОВОРА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.</w:t>
        </w:r>
      </w:hyperlink>
      <w:r>
        <w:rPr>
          <w:rStyle w:val="1446"/>
          <w:rFonts w:ascii="Times New Roman" w:hAnsi="Times New Roman" w:cs="Times New Roman"/>
          <w:b w:val="0"/>
          <w:bCs w:val="0"/>
        </w:rPr>
      </w:r>
      <w:r>
        <w:rPr>
          <w:rStyle w:val="1446"/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</w:t>
      </w:r>
      <w:r>
        <w:rPr>
          <w:rFonts w:ascii="Times New Roman" w:hAnsi="Times New Roman" w:cs="Times New Roman"/>
          <w:b w:val="0"/>
        </w:rPr>
        <w:t xml:space="preserve">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</w:t>
      </w:r>
      <w:r>
        <w:rPr>
          <w:rFonts w:ascii="Times New Roman" w:hAnsi="Times New Roman" w:cs="Times New Roman"/>
          <w:b w:val="0"/>
          <w:spacing w:val="-4"/>
        </w:rPr>
        <w:t xml:space="preserve">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</w:t>
      </w:r>
      <w:r>
        <w:rPr>
          <w:rFonts w:ascii="Times New Roman" w:hAnsi="Times New Roman" w:cs="Times New Roman"/>
          <w:b w:val="0"/>
        </w:rPr>
        <w:t xml:space="preserve">ки лиц (далее – Аффилированные лица):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обладающих кредитным рейтингом не ниже категории «А» по национальной рейтинговой шкале для Российской Федерации кредитного рейтингового агентства </w:t>
      </w:r>
      <w:r>
        <w:t xml:space="preserve">Аналитическое Кредитное Рейтинговое Агентство (Акционерное общество) или</w:t>
      </w:r>
      <w:r>
        <w:t xml:space="preserve"> кредитного рейтингового агентства Акционерное общество «Рейтинговое Агентство «Эксперт РА»;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представивших заказчику сведения, подтверждающих платежеспособность Аффилированного лица (ежегодную или квартальную бухгалтерскую (финансовую) отчетность на послед</w:t>
      </w:r>
      <w:r>
        <w:t xml:space="preserve">нюю отчетную дату) (в копиях с отметкой Федеральной налоговой службы, заверенных печатью организации и подписанных руководителем организации);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принявших обязательство письменно извещать заказчика в течение 3 рабочих дней со дня наступления следующих событи</w:t>
      </w:r>
      <w:r>
        <w:t xml:space="preserve">й: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изменение местонахождения, учредительных документов, органов управления Аффилированного лица, банковс</w:t>
      </w:r>
      <w:r>
        <w:t xml:space="preserve">ких реквизитов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представивших заказчику </w:t>
      </w:r>
      <w:r>
        <w:rPr>
          <w:spacing w:val="-4"/>
        </w:rPr>
        <w:t xml:space="preserve">письма (оригинал), подт</w:t>
      </w:r>
      <w:r>
        <w:rPr>
          <w:spacing w:val="-4"/>
        </w:rPr>
        <w:t xml:space="preserve">верждающего, что в отношении контрагента участника закупки/бенефициарного владельца контрагента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</w:t>
      </w:r>
      <w:r>
        <w:rPr>
          <w:spacing w:val="-4"/>
        </w:rPr>
        <w:t xml:space="preserve">дений со ссылкой на источники информации (оригинал/копия, заверенная Аффилированным лицом);</w:t>
      </w: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</w:t>
      </w:r>
      <w:r>
        <w:t xml:space="preserve">илированным лицом);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представление иных дополнительных документов либо сведений по запросу Общества при наступлении одного из событий, указанных в пункте 6.2.5 в).</w:t>
      </w:r>
      <w:r>
        <w:rPr>
          <w:spacing w:val="-4"/>
        </w:rPr>
      </w:r>
      <w:r>
        <w:rPr>
          <w:spacing w:val="-4"/>
        </w:rPr>
      </w:r>
    </w:p>
    <w:p>
      <w:pPr>
        <w:ind w:firstLine="567"/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 xml:space="preserve">При наступлении одного из </w:t>
      </w:r>
      <w:r>
        <w:t xml:space="preserve">событий, указанных в пункте 6.2.5 в), либо в случае несоответствия </w:t>
      </w:r>
      <w:r>
        <w:t xml:space="preserve">Аффилированного лица критериям, указанным в пункте 6.2.5, </w:t>
      </w:r>
      <w:r>
        <w:rPr>
          <w:spacing w:val="-4"/>
        </w:rPr>
        <w:t xml:space="preserve">а также в случае отказа Аффилированного лица от представления документов, предусмотренных п. </w:t>
      </w:r>
      <w:r>
        <w:t xml:space="preserve">6.2.5</w:t>
      </w:r>
      <w:r>
        <w:rPr>
          <w:spacing w:val="-4"/>
        </w:rPr>
        <w:t xml:space="preserve">, Заказчик вправе отказаться от принятия поручительства Аффилированного лица/требовать замены ранее </w:t>
      </w:r>
      <w:r>
        <w:rPr>
          <w:spacing w:val="-4"/>
        </w:rPr>
        <w:t xml:space="preserve">предоставленного поручительства Аффилированного лица на независимую гарантию, на поручительство иного Аффилированного лица, на иное обеспечение обязательств, предусмотренное условиями договора.</w:t>
      </w:r>
      <w:r/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</w:t>
      </w:r>
      <w:r>
        <w:rPr>
          <w:rFonts w:ascii="Times New Roman" w:hAnsi="Times New Roman" w:cs="Times New Roman"/>
          <w:b w:val="0"/>
          <w:spacing w:val="-4"/>
        </w:rPr>
        <w:t xml:space="preserve">е поручительства, договор дополняется соответствующим разделом в ходе преддоговорных переговоров. </w:t>
      </w:r>
      <w:r>
        <w:rPr>
          <w:rFonts w:ascii="Times New Roman" w:hAnsi="Times New Roman" w:cs="Times New Roman"/>
          <w:b w:val="0"/>
          <w:spacing w:val="-4"/>
        </w:rPr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251" w:name="_Toc41"/>
      <w:r/>
      <w:bookmarkStart w:id="105" w:name="_Требования_к_условиям"/>
      <w:r/>
      <w:bookmarkEnd w:id="10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251"/>
      <w:r>
        <w:rPr>
          <w:bCs w:val="0"/>
          <w:smallCaps/>
        </w:rPr>
      </w:r>
      <w:r>
        <w:rPr>
          <w:bCs w:val="0"/>
          <w:smallCaps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договора в </w:t>
      </w:r>
      <w:r>
        <w:rPr>
          <w:rFonts w:ascii="Times New Roman" w:hAnsi="Times New Roman" w:cs="Times New Roman"/>
          <w:b w:val="0"/>
          <w:bCs w:val="0"/>
        </w:rPr>
        <w:t xml:space="preserve">форме независимой гарантии участник должен предоставить независимую гарантию, составленную с учетом требований статей </w:t>
      </w:r>
      <w:hyperlink r:id="rId29" w:tooltip="https://www.consultant.ru/document/cons_doc_LAW_5142/03edc46b2ef855fddfaaa3d77dac1d071ef3dba1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368</w:t>
        </w:r>
      </w:hyperlink>
      <w:r>
        <w:rPr>
          <w:rFonts w:ascii="Times New Roman" w:hAnsi="Times New Roman" w:cs="Times New Roman"/>
          <w:b w:val="0"/>
          <w:bCs w:val="0"/>
        </w:rPr>
        <w:t xml:space="preserve">-</w:t>
      </w:r>
      <w:hyperlink r:id="rId30" w:tooltip="https://www.consultant.ru/document/cons_doc_LAW_5142/e8b1dba1c6def4f632470a9857908caf60fec137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379</w:t>
        </w:r>
      </w:hyperlink>
      <w:r>
        <w:rPr>
          <w:rFonts w:ascii="Times New Roman" w:hAnsi="Times New Roman" w:cs="Times New Roman"/>
          <w:b w:val="0"/>
          <w:bCs w:val="0"/>
        </w:rPr>
        <w:t xml:space="preserve">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26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31" w:tooltip="https://www.consultant.ru/document/cons_doc_LAW_144624/af90cad46f4484d18fa490ef1c9d7a3b2fd3be3b/#dst2441" w:anchor="dst2441" w:history="1">
        <w:r>
          <w:rPr>
            <w:rStyle w:val="1446"/>
            <w:bCs/>
          </w:rPr>
          <w:t xml:space="preserve">частью 1 статьи 45 Федерального закона от 5 апреля 2013 года № 44-ФЗ «О контрактной системе в сфере закупок тов</w:t>
        </w:r>
        <w:r>
          <w:rPr>
            <w:rStyle w:val="1446"/>
            <w:bCs/>
          </w:rPr>
          <w:t xml:space="preserve">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должна быть безотзывной;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срок действия независимой гарантии должен начинаться не позднее даты заключения договора (в случае заключения дополнительного соглашения</w:t>
      </w:r>
      <w:r>
        <w:t xml:space="preserve">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</w:t>
      </w:r>
      <w:r>
        <w:rPr>
          <w:bCs/>
        </w:rPr>
        <w:t xml:space="preserve">календарных </w:t>
      </w:r>
      <w:r>
        <w:t xml:space="preserve">дней после планируемого срока исполнения контрагентом обязательств по договору;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в не</w:t>
      </w:r>
      <w:r>
        <w:t xml:space="preserve">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</w:t>
      </w:r>
      <w:r>
        <w:t xml:space="preserve">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pStyle w:val="1539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pStyle w:val="1539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pStyle w:val="1539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85"/>
        </w:rPr>
        <w:t xml:space="preserve">кредитная организаци</w:t>
      </w:r>
      <w:r>
        <w:rPr>
          <w:rStyle w:val="1585"/>
        </w:rPr>
        <w:t xml:space="preserve">я обладает действующей лицензией на банковскую деятельность, выданной Банком России</w:t>
      </w:r>
      <w:r>
        <w:rPr>
          <w:rStyle w:val="1585"/>
          <w:vertAlign w:val="superscript"/>
        </w:rPr>
        <w:footnoteReference w:customMarkFollows="1" w:id="10"/>
        <w:t xml:space="preserve">1</w:t>
      </w:r>
      <w:r>
        <w:rPr>
          <w:rStyle w:val="1585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585"/>
          <w:vertAlign w:val="superscript"/>
        </w:rPr>
        <w:footnoteReference w:customMarkFollows="1" w:id="11"/>
        <w:t xml:space="preserve">2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585"/>
        </w:rPr>
        <w:t xml:space="preserve">кред</w:t>
      </w:r>
      <w:r>
        <w:rPr>
          <w:rStyle w:val="1585"/>
        </w:rPr>
        <w:t xml:space="preserve">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</w:t>
      </w:r>
      <w:r>
        <w:rPr>
          <w:rStyle w:val="1585"/>
        </w:rPr>
        <w:t xml:space="preserve">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входит </w:t>
      </w:r>
      <w:r>
        <w:t xml:space="preserve">в перечень кредитных организаций, соответствующих требованиям, установленным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</w:t>
      </w:r>
      <w:r>
        <w:t xml:space="preserve">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</w:t>
      </w:r>
      <w:r>
        <w:t xml:space="preserve">дов</w:t>
      </w:r>
      <w:r>
        <w:rPr>
          <w:vertAlign w:val="superscript"/>
        </w:rPr>
        <w:footnoteReference w:customMarkFollows="1" w:id="12"/>
        <w:t xml:space="preserve">3.</w:t>
      </w:r>
      <w:r/>
    </w:p>
    <w:p>
      <w:pPr>
        <w:numPr>
          <w:ilvl w:val="0"/>
          <w:numId w:val="27"/>
        </w:numPr>
        <w:ind w:left="0" w:firstLine="567"/>
        <w:keepNext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13"/>
        <w:t xml:space="preserve">4</w:t>
      </w:r>
      <w:r/>
    </w:p>
    <w:tbl>
      <w:tblPr>
        <w:tblW w:w="9354" w:type="dxa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268"/>
        <w:gridCol w:w="1843"/>
        <w:gridCol w:w="1701"/>
      </w:tblGrid>
      <w:tr>
        <w:tblPrEx/>
        <w:trPr>
          <w:trHeight w:val="8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id="14"/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на возврат авансовых платежей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id="15"/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6.3.2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</w:t>
      </w:r>
      <w:r>
        <w:rPr>
          <w:rFonts w:eastAsia="Arial Unicode MS" w:cs="Arial Unicode MS"/>
          <w:color w:val="000000"/>
        </w:rPr>
        <w:t xml:space="preserve">долгосрочный кредитный рейтинг по национальной шкале, присвоенный аккредитованными Банком России 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6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</w:t>
      </w:r>
      <w:r>
        <w:rPr>
          <w:rFonts w:eastAsia="Arial Unicode MS" w:cs="Arial Unicode MS"/>
          <w:color w:val="000000"/>
        </w:rPr>
        <w:t xml:space="preserve">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7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6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409"/>
        <w:gridCol w:w="2250"/>
        <w:gridCol w:w="2339"/>
      </w:tblGrid>
      <w:tr>
        <w:tblPrEx/>
        <w:trPr>
          <w:jc w:val="center"/>
          <w:trHeight w:val="30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отсутствие у банка-гаранта в течение предшествующих 24 месяцев прецедентов просрочки исполнения платежных обязательств перед Заказчиком по независимым гарантиям, выданным принципалу, предоставляющему независимую гарантию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Лимит на общую сумму единовременн</w:t>
      </w:r>
      <w:r>
        <w:t xml:space="preserve">о действующих гарантий, принятых Обществом для каждого из банков, удовлетворяющих условиям п.п. 6.3.2 а) – е) закупочной документации, устанавливается в размере 10% от собственного капитала банка.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рейтинга (ниже минимально допустимого в с</w:t>
      </w:r>
      <w:r>
        <w:t xml:space="preserve">оответствии с п. 6.3.2 ж) уровня)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</w:t>
      </w:r>
      <w:r>
        <w:t xml:space="preserve">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независимых гарантий данной кр</w:t>
      </w:r>
      <w:r>
        <w:rPr>
          <w:bCs/>
        </w:rPr>
        <w:t xml:space="preserve">едитной организации может быть приостановлен.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Вместе с гарантией победитель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</w:t>
      </w:r>
      <w:r>
        <w:rPr>
          <w:bCs/>
        </w:rPr>
        <w:t xml:space="preserve">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</w:t>
      </w:r>
      <w:r>
        <w:rPr>
          <w:bCs/>
        </w:rPr>
        <w:t xml:space="preserve">гаранта о назначении (избрании) единоличного исполнительного органа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</w:t>
      </w:r>
      <w:r>
        <w:rPr>
          <w:bCs/>
        </w:rPr>
        <w:t xml:space="preserve">оригинал/нотариально заверенная копия/ копия, заверенная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оригинала независимой гарантии поставщику (подрядчику, исполнителю) осуществляется по инициативе поставщика (подрядчиком, исполнитель) в следующих случаях: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0"/>
        </w:numPr>
        <w:ind w:left="0" w:firstLine="567"/>
        <w:spacing w:after="0"/>
      </w:pPr>
      <w:r>
        <w:t xml:space="preserve">если поставщиком (подрядчиком, исполнителем) исполнены обязательства, исполнение которых покрывала независимая гарантия и Заказчиком исполнены обязательства по оплате;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при замене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в ины</w:t>
      </w:r>
      <w:r>
        <w:t xml:space="preserve">х случаях, предусмотренных договором.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поставщику (подрядчику, исполнителю) независимых гарантий, по которым Заказчиком предъявлены требования об оплате, не производится.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Взыскание (предъявление требований) по независимой гарантии производится при н</w:t>
      </w:r>
      <w:r>
        <w:rPr>
          <w:bCs/>
        </w:rPr>
        <w:t xml:space="preserve">аступлении обстоятельств, предусмотренных независимой гарантией.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/>
          <w:bCs/>
        </w:rPr>
        <w:outlineLvl w:val="2"/>
      </w:pPr>
      <w:r>
        <w:t xml:space="preserve">Срок предоставления независимой гарантии, форма независимой гарантии, Акт приема-передачи независимой(ых) гарантии(й)/ изменений к независимой гарантии, иные требования, связанные с независим</w:t>
      </w:r>
      <w:r>
        <w:t xml:space="preserve">ой гарантией, установлены в</w:t>
      </w:r>
      <w:r>
        <w:rPr>
          <w:b/>
          <w:bCs/>
        </w:rPr>
        <w:t xml:space="preserve"> </w:t>
      </w:r>
      <w:r>
        <w:rPr>
          <w:bCs/>
        </w:rPr>
        <w:t xml:space="preserve">части </w:t>
      </w:r>
      <w:hyperlink w:tooltip="#_ФОРМА_15._Справка" w:anchor="_IV._ПРОЕКТ" w:history="1">
        <w:r>
          <w:rPr>
            <w:rStyle w:val="1446"/>
            <w:bCs/>
          </w:rPr>
          <w:t xml:space="preserve">IV «ПРОЕКТ ДОГОВОРА»</w:t>
        </w:r>
      </w:hyperlink>
      <w:r>
        <w:t xml:space="preserve"> и части </w:t>
      </w:r>
      <w:hyperlink w:tooltip="#_Типовые_формы_независимых" w:anchor="_VII._ТИПОВ" w:history="1">
        <w:r>
          <w:rPr>
            <w:rStyle w:val="1446"/>
          </w:rPr>
          <w:t xml:space="preserve">VII «ТИПОВЫЕ ФОРМЫ НЕЗАВИСИМЫХ ГАРАНТИЙ»</w:t>
        </w:r>
      </w:hyperlink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252" w:name="_Toc42"/>
      <w:r>
        <w:rPr>
          <w:bCs w:val="0"/>
          <w:sz w:val="24"/>
          <w:szCs w:val="24"/>
        </w:rPr>
        <w:t xml:space="preserve">Отказ от заключения договора</w:t>
      </w:r>
      <w:bookmarkEnd w:id="252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</w:t>
      </w:r>
      <w:r>
        <w:rPr>
          <w:rFonts w:ascii="Times New Roman" w:hAnsi="Times New Roman" w:cs="Times New Roman"/>
          <w:b w:val="0"/>
        </w:rPr>
        <w:t xml:space="preserve">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</w:t>
      </w:r>
      <w:r>
        <w:rPr>
          <w:rFonts w:ascii="Times New Roman" w:hAnsi="Times New Roman" w:cs="Times New Roman"/>
          <w:b w:val="0"/>
        </w:rPr>
        <w:t xml:space="preserve">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8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</w:t>
      </w:r>
      <w:r>
        <w:rPr>
          <w:rFonts w:ascii="Times New Roman" w:hAnsi="Times New Roman" w:cs="Times New Roman"/>
          <w:b w:val="0"/>
        </w:rPr>
        <w:t xml:space="preserve">ствия) означают отказ от заключения договора в следующих случаях:</w:t>
      </w:r>
      <w:bookmarkEnd w:id="108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562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55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</w:t>
      </w:r>
      <w:r>
        <w:t xml:space="preserve">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</w:t>
      </w:r>
      <w:r>
        <w:t xml:space="preserve">олнения договора и срок его предоставления до заключения договора);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555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 (единственный участник соотв</w:t>
      </w:r>
      <w:r>
        <w:t xml:space="preserve">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</w:t>
      </w:r>
      <w:r>
        <w:rPr>
          <w:rFonts w:ascii="Times New Roman" w:hAnsi="Times New Roman" w:cs="Times New Roman"/>
          <w:b w:val="0"/>
        </w:rPr>
        <w:t xml:space="preserve">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</w:t>
      </w:r>
      <w:r>
        <w:rPr>
          <w:rFonts w:ascii="Times New Roman" w:hAnsi="Times New Roman" w:cs="Times New Roman"/>
          <w:b w:val="0"/>
        </w:rPr>
        <w:t xml:space="preserve">ия договора,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3" w:name="_Toc43"/>
      <w:r>
        <w:rPr>
          <w:sz w:val="24"/>
          <w:szCs w:val="24"/>
        </w:rPr>
        <w:t xml:space="preserve">Изменение и расторжение договора</w:t>
      </w:r>
      <w:bookmarkEnd w:id="2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2" w:tooltip="https://zakupki.gov.ru/epz/orderclause/card/common-info.html?orderClauseInfoId=967865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0" w:name="_Ref119429963"/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</w:t>
      </w:r>
      <w:r>
        <w:rPr>
          <w:rFonts w:ascii="Times New Roman" w:hAnsi="Times New Roman" w:cs="Times New Roman"/>
          <w:b w:val="0"/>
          <w:bCs w:val="0"/>
        </w:rPr>
        <w:t xml:space="preserve">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</w:t>
      </w:r>
      <w:r>
        <w:rPr>
          <w:rFonts w:ascii="Times New Roman" w:hAnsi="Times New Roman" w:cs="Times New Roman"/>
          <w:b w:val="0"/>
          <w:bCs w:val="0"/>
        </w:rPr>
        <w:t xml:space="preserve">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</w:t>
      </w:r>
      <w:r>
        <w:rPr>
          <w:rFonts w:ascii="Times New Roman" w:hAnsi="Times New Roman" w:cs="Times New Roman"/>
          <w:b w:val="0"/>
          <w:bCs w:val="0"/>
        </w:rPr>
        <w:t xml:space="preserve"> на поставку товаров (выполнение работ, оказание услуг) заключенных с субъектами МСП,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</w:t>
      </w:r>
      <w:r>
        <w:rPr>
          <w:rFonts w:ascii="Times New Roman" w:hAnsi="Times New Roman" w:cs="Times New Roman"/>
          <w:b w:val="0"/>
          <w:bCs w:val="0"/>
        </w:rPr>
        <w:t xml:space="preserve">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3" w:tooltip="https://www.consultant.ru/document/cons_doc_LAW_494318/92d969e26a4326c5d02fa79b8f9cf4994ee5633b/" w:history="1">
        <w:r>
          <w:rPr>
            <w:rStyle w:val="1446"/>
            <w:rFonts w:ascii="Times New Roman" w:hAnsi="Times New Roman" w:cs="Times New Roman"/>
            <w:b w:val="0"/>
          </w:rPr>
          <w:t xml:space="preserve">поста</w:t>
        </w:r>
        <w:r>
          <w:rPr>
            <w:rStyle w:val="1446"/>
            <w:rFonts w:ascii="Times New Roman" w:hAnsi="Times New Roman" w:cs="Times New Roman"/>
            <w:b w:val="0"/>
          </w:rPr>
          <w:t xml:space="preserve">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работ, услуг, соответственно выполняемых, оказываем</w:t>
      </w:r>
      <w:r>
        <w:rPr>
          <w:rFonts w:ascii="Times New Roman" w:hAnsi="Times New Roman" w:cs="Times New Roman"/>
          <w:b w:val="0"/>
          <w:bCs w:val="0"/>
        </w:rPr>
        <w:t xml:space="preserve">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</w:t>
      </w:r>
      <w:r>
        <w:rPr>
          <w:rFonts w:ascii="Times New Roman" w:hAnsi="Times New Roman" w:cs="Times New Roman"/>
          <w:b w:val="0"/>
          <w:bCs w:val="0"/>
        </w:rPr>
        <w:t xml:space="preserve">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4" w:tooltip="https://www.consultant.ru/document/cons_doc_LAW_494318/92d969e26a4326c5d02fa79b8f9cf4994ee5633b/" w:history="1">
        <w:r>
          <w:rPr>
            <w:rStyle w:val="1446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446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установлено ограничение закуп</w:t>
      </w:r>
      <w:r>
        <w:rPr>
          <w:rFonts w:ascii="Times New Roman" w:hAnsi="Times New Roman" w:cs="Times New Roman"/>
          <w:b w:val="0"/>
          <w:bCs w:val="0"/>
        </w:rPr>
        <w:t xml:space="preserve">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</w:t>
      </w:r>
      <w:r>
        <w:rPr>
          <w:rFonts w:ascii="Times New Roman" w:hAnsi="Times New Roman" w:cs="Times New Roman"/>
          <w:b w:val="0"/>
          <w:bCs w:val="0"/>
        </w:rPr>
        <w:t xml:space="preserve">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bookmarkEnd w:id="1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</w:t>
      </w:r>
      <w:r>
        <w:rPr>
          <w:rFonts w:ascii="Times New Roman" w:hAnsi="Times New Roman" w:cs="Times New Roman"/>
          <w:b w:val="0"/>
          <w:bCs w:val="0"/>
        </w:rPr>
        <w:t xml:space="preserve">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4" w:name="_Toc44"/>
      <w:r>
        <w:rPr>
          <w:sz w:val="24"/>
          <w:szCs w:val="24"/>
        </w:rPr>
        <w:t xml:space="preserve">Закупка продукции с разбиением заказа на лоты</w:t>
      </w:r>
      <w:bookmarkEnd w:id="25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</w:t>
      </w:r>
      <w:r>
        <w:rPr>
          <w:rFonts w:ascii="Times New Roman" w:hAnsi="Times New Roman" w:cs="Times New Roman"/>
          <w:b w:val="0"/>
        </w:rPr>
        <w:t xml:space="preserve">о пункте </w:t>
      </w:r>
      <w:hyperlink w:tooltip="#_Предмет_до" w:anchor="_Предмет_до" w:history="1">
        <w:r>
          <w:rPr>
            <w:rStyle w:val="1446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части </w:t>
      </w:r>
      <w:hyperlink w:tooltip="#_V._ТЕХНИЧЕ" w:anchor="_V._ТЕХНИЧЕ" w:history="1">
        <w:r>
          <w:rPr>
            <w:rStyle w:val="1446"/>
            <w:rFonts w:ascii="Times New Roman" w:hAnsi="Times New Roman" w:cs="Times New Roman"/>
            <w:b w:val="0"/>
          </w:rPr>
          <w:t xml:space="preserve">IV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</w:t>
      </w:r>
      <w:r>
        <w:rPr>
          <w:rFonts w:ascii="Times New Roman" w:hAnsi="Times New Roman" w:cs="Times New Roman"/>
          <w:b w:val="0"/>
        </w:rPr>
        <w:t xml:space="preserve">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пункте </w:t>
      </w:r>
      <w:hyperlink w:tooltip="#_Сведения_и" w:anchor="_Сведения_и" w:history="1">
        <w:r>
          <w:rPr>
            <w:rStyle w:val="1446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28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</w:t>
      </w:r>
      <w:r>
        <w:rPr>
          <w:rFonts w:ascii="Times New Roman" w:hAnsi="Times New Roman" w:cs="Times New Roman"/>
          <w:b w:val="0"/>
        </w:rPr>
        <w:t xml:space="preserve">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226"/>
        <w:numPr>
          <w:ilvl w:val="0"/>
          <w:numId w:val="4"/>
        </w:numPr>
        <w:ind w:left="0" w:firstLine="567"/>
        <w:spacing w:before="0" w:after="0"/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55" w:name="_Toc45"/>
      <w:r/>
      <w:bookmarkStart w:id="112" w:name="_II._ИНФОРМ"/>
      <w:r/>
      <w:bookmarkStart w:id="113" w:name="_РАЗДЕЛ_I_3_ИНФОРМАЦИОННАЯ_КАРТА_КОН"/>
      <w:r/>
      <w:bookmarkStart w:id="114" w:name="_ИНФОРМАЦИОННАЯ_КАРТА_ЗАКУПКИ"/>
      <w:r/>
      <w:bookmarkStart w:id="115" w:name="_Ref119427269"/>
      <w:r/>
      <w:bookmarkEnd w:id="112"/>
      <w:r/>
      <w:bookmarkEnd w:id="113"/>
      <w:r/>
      <w:bookmarkEnd w:id="114"/>
      <w:r>
        <w:rPr>
          <w:rStyle w:val="1397"/>
          <w:rFonts w:ascii="Times New Roman" w:hAnsi="Times New Roman" w:cs="Times New Roman"/>
          <w:color w:val="auto"/>
          <w:sz w:val="28"/>
          <w:szCs w:val="28"/>
        </w:rPr>
        <w:t xml:space="preserve">ИНФОРМАЦИОННАЯ КАРТА </w:t>
      </w:r>
      <w:bookmarkEnd w:id="115"/>
      <w:r>
        <w:rPr>
          <w:rStyle w:val="1397"/>
          <w:rFonts w:ascii="Times New Roman" w:hAnsi="Times New Roman" w:cs="Times New Roman"/>
          <w:color w:val="auto"/>
          <w:sz w:val="28"/>
          <w:szCs w:val="28"/>
        </w:rPr>
        <w:t xml:space="preserve">ЗАКУПКИ</w:t>
      </w:r>
      <w:bookmarkEnd w:id="255"/>
      <w:r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</w:t>
      </w:r>
      <w:r>
        <w:t xml:space="preserve">ет положения части </w:t>
      </w:r>
      <w:hyperlink w:tooltip="#_ОБЩИЕ_ПОЛОЖЕНИЯ" w:anchor="_ОБЩИЕ_ПОЛОЖЕНИЯ" w:history="1">
        <w:r>
          <w:rPr>
            <w:rStyle w:val="1446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УСЛОВИЯ_ПРОВЕДЕНИЯ" w:anchor="_I._ОБЩИЕ_У" w:history="1">
        <w:r>
          <w:rPr>
            <w:rStyle w:val="1446"/>
          </w:rPr>
          <w:t xml:space="preserve">I «ОБЩИЕ УСЛОВИЯ ПРОВЕД</w:t>
        </w:r>
        <w:r>
          <w:rPr>
            <w:rStyle w:val="1446"/>
          </w:rPr>
          <w:t xml:space="preserve">ЕНИЯ ЗАКУПКИ»</w:t>
        </w:r>
      </w:hyperlink>
      <w:r>
        <w:t xml:space="preserve"> и части </w:t>
      </w:r>
      <w:hyperlink w:tooltip="#_ИНФОРМАЦИОННАЯ_КАРТА_ЗАКУПКИ" w:anchor="_II._ИНФОРМ" w:history="1">
        <w:r>
          <w:rPr>
            <w:rStyle w:val="1446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13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 w:line="256" w:lineRule="auto"/>
              <w:shd w:val="clear" w:color="ffffff" w:themeColor="background1" w:fill="ffffff" w:themeFill="background1"/>
              <w:rPr>
                <w:lang w:eastAsia="en-US"/>
              </w:rPr>
            </w:pPr>
            <w:r/>
            <w:bookmarkStart w:id="117" w:name="Par50"/>
            <w:r>
              <w:rPr>
                <w:lang w:eastAsia="en-US"/>
              </w:rPr>
              <w:t xml:space="preserve">Конкурс в электронной форме.</w:t>
            </w:r>
            <w:bookmarkEnd w:id="117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56" w:lineRule="auto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Номер позиции Плана закупки: 352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bookmarkStart w:id="118" w:name="_Наименование,_место_нахождения,"/>
            <w:r>
              <w:rPr>
                <w:highlight w:val="white"/>
              </w:rPr>
            </w:r>
            <w:bookmarkEnd w:id="118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b/>
                <w:highlight w:val="none"/>
              </w:rPr>
            </w:pPr>
            <w:r>
              <w:rPr>
                <w:b/>
                <w:i w:val="0"/>
                <w:iCs w:val="0"/>
                <w:highlight w:val="none"/>
              </w:rPr>
              <w:t xml:space="preserve">Наименование Заказчика: </w:t>
            </w:r>
            <w:r>
              <w:rPr>
                <w:i w:val="0"/>
                <w:iCs w:val="0"/>
                <w:highlight w:val="none"/>
              </w:rPr>
              <w:t xml:space="preserve">АО «Россети Янтарь»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b/>
                <w:highlight w:val="none"/>
              </w:rPr>
            </w:pPr>
            <w:r>
              <w:rPr>
                <w:b/>
                <w:i w:val="0"/>
                <w:iCs w:val="0"/>
                <w:highlight w:val="none"/>
              </w:rPr>
              <w:t xml:space="preserve">Адрес местонахождения Заказчика: </w:t>
            </w:r>
            <w:r>
              <w:rPr>
                <w:i w:val="0"/>
                <w:iCs w:val="0"/>
                <w:highlight w:val="none"/>
              </w:rPr>
              <w:t xml:space="preserve">236022, г. Калининград, ул. Театральная, д. 34, кабинет 214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Почтовый адрес Заказчика: </w:t>
            </w:r>
            <w:r>
              <w:rPr>
                <w:i w:val="0"/>
                <w:iCs w:val="0"/>
                <w:highlight w:val="none"/>
              </w:rPr>
              <w:t xml:space="preserve">236035, Абонентский ящик №</w:t>
            </w:r>
            <w:r>
              <w:rPr>
                <w:i w:val="0"/>
                <w:iCs w:val="0"/>
                <w:highlight w:val="none"/>
              </w:rPr>
              <w:t xml:space="preserve"> 5065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highlight w:val="none"/>
              </w:rPr>
              <w:t xml:space="preserve">Контактное лицо</w:t>
            </w:r>
            <w:r>
              <w:rPr>
                <w:i w:val="0"/>
                <w:iCs w:val="0"/>
                <w:highlight w:val="none"/>
              </w:rPr>
              <w:t xml:space="preserve">: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Огиенко Элеонора Вячеславовна</w:t>
            </w:r>
            <w:r>
              <w:rPr>
                <w:i w:val="0"/>
                <w:iCs w:val="0"/>
                <w:highlight w:val="none"/>
              </w:rPr>
              <w:t xml:space="preserve">,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Контактный телефон: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8(4012)57-63-41</w:t>
            </w:r>
            <w:r>
              <w:rPr>
                <w:i w:val="0"/>
                <w:iCs w:val="0"/>
                <w:highlight w:val="none"/>
              </w:rPr>
              <w:t xml:space="preserve">, </w:t>
            </w:r>
            <w:r>
              <w:rPr>
                <w:i w:val="0"/>
                <w:iCs w:val="0"/>
                <w:highlight w:val="none"/>
              </w:rPr>
              <w:t xml:space="preserve">Адрес электронной почты: </w:t>
            </w:r>
            <w:r>
              <w:rPr>
                <w:i w:val="0"/>
                <w:iCs w:val="0"/>
                <w:highlight w:val="none"/>
              </w:rPr>
              <w:t xml:space="preserve">Ogienko-EV@Rosseti-Yantar.Ru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  <w:t xml:space="preserve">К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онтактное лицо от заказчика</w:t>
            </w:r>
            <w:r>
              <w:rPr>
                <w:i w:val="0"/>
                <w:iCs w:val="0"/>
                <w:highlight w:val="none"/>
              </w:rPr>
              <w:t xml:space="preserve">: </w:t>
            </w:r>
            <w:r>
              <w:rPr>
                <w:i w:val="0"/>
                <w:iCs w:val="0"/>
                <w:highlight w:val="none"/>
              </w:rPr>
              <w:t xml:space="preserve">Давыдова Ирина Сергеевна</w:t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Адрес электронной почты: </w:t>
            </w:r>
            <w:r>
              <w:rPr>
                <w:i w:val="0"/>
                <w:iCs w:val="0"/>
                <w:highlight w:val="none"/>
              </w:rPr>
            </w:r>
            <w:hyperlink r:id="rId35" w:tooltip="http://Stepanova-EG@Rosseti-Yantar.Ru" w:history="1">
              <w:r>
                <w:rPr>
                  <w:i w:val="0"/>
                  <w:iCs w:val="0"/>
                  <w:highlight w:val="none"/>
                </w:rPr>
              </w:r>
              <w:r>
                <w:rPr>
                  <w:i w:val="0"/>
                  <w:iCs w:val="0"/>
                  <w:highlight w:val="none"/>
                </w:rPr>
                <w:t xml:space="preserve">Davydova-IS@rosseti-yantar.ru</w:t>
              </w:r>
              <w:r>
                <w:rPr>
                  <w:i w:val="0"/>
                  <w:iCs w:val="0"/>
                  <w:highlight w:val="none"/>
                </w:rPr>
              </w:r>
            </w:hyperlink>
            <w:r>
              <w:rPr>
                <w:i w:val="0"/>
                <w:iCs w:val="0"/>
                <w:highlight w:val="none"/>
              </w:rPr>
              <w:t xml:space="preserve">; </w:t>
            </w:r>
            <w:r>
              <w:rPr>
                <w:i w:val="0"/>
                <w:iCs w:val="0"/>
                <w:highlight w:val="none"/>
              </w:rPr>
              <w:t xml:space="preserve">Контактный телефон: </w:t>
            </w:r>
            <w:r>
              <w:rPr>
                <w:i w:val="0"/>
                <w:iCs w:val="0"/>
                <w:highlight w:val="none"/>
              </w:rPr>
              <w:t xml:space="preserve">+7 (4012) 531-979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highlight w:val="none"/>
              </w:rPr>
              <w:t xml:space="preserve">Контактное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лицо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,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ответственное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за заключение договора: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Арефьева М.А., </w:t>
            </w:r>
            <w:r>
              <w:rPr>
                <w:i w:val="0"/>
                <w:iCs w:val="0"/>
                <w:highlight w:val="none"/>
              </w:rPr>
              <w:t xml:space="preserve">Адрес </w:t>
            </w:r>
            <w:r>
              <w:rPr>
                <w:i w:val="0"/>
                <w:iCs w:val="0"/>
                <w:highlight w:val="none"/>
              </w:rPr>
              <w:t xml:space="preserve">электронной почты: </w:t>
            </w:r>
            <w:r>
              <w:rPr>
                <w:i w:val="0"/>
                <w:iCs w:val="0"/>
                <w:highlight w:val="none"/>
              </w:rPr>
            </w:r>
            <w:hyperlink r:id="rId36" w:tooltip="mailto:Arefeva-MA@Rosseti-Yantar.Ru" w:history="1">
              <w:r>
                <w:rPr>
                  <w:i w:val="0"/>
                  <w:iCs w:val="0"/>
                  <w:highlight w:val="none"/>
                </w:rPr>
                <w:t xml:space="preserve">Arefeva-MA@Rosseti-Yantar.Ru</w:t>
              </w:r>
            </w:hyperlink>
            <w:r>
              <w:rPr>
                <w:i w:val="0"/>
                <w:iCs w:val="0"/>
                <w:highlight w:val="none"/>
              </w:rPr>
              <w:t xml:space="preserve">, </w:t>
            </w:r>
            <w:r>
              <w:rPr>
                <w:i w:val="0"/>
                <w:iCs w:val="0"/>
                <w:highlight w:val="none"/>
              </w:rPr>
              <w:t xml:space="preserve">Контактный телефон: </w:t>
            </w:r>
            <w:r>
              <w:rPr>
                <w:i w:val="0"/>
                <w:iCs w:val="0"/>
                <w:highlight w:val="none"/>
              </w:rPr>
              <w:t xml:space="preserve">8(4012)</w:t>
            </w:r>
            <w:r>
              <w:rPr>
                <w:i w:val="0"/>
                <w:iCs w:val="0"/>
                <w:highlight w:val="none"/>
              </w:rPr>
              <w:t xml:space="preserve">57-07-02</w:t>
            </w:r>
            <w:r>
              <w:rPr>
                <w:b/>
                <w:i w:val="0"/>
                <w:iCs w:val="0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Предмет_до"/>
            <w:r/>
            <w:bookmarkStart w:id="120" w:name="_Предмет_договора_с"/>
            <w:r/>
            <w:bookmarkEnd w:id="119"/>
            <w:r/>
            <w:bookmarkEnd w:id="12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Предмет </w:t>
            </w:r>
            <w:r>
              <w:rPr>
                <w:b/>
                <w:highlight w:val="white"/>
              </w:rPr>
              <w:t xml:space="preserve">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3.11р)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</w:pPr>
            <w:r>
              <w:t xml:space="preserve">Количество поставляемого товара/объем выполняемой рабо</w:t>
            </w:r>
            <w:r>
              <w:t xml:space="preserve">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1446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</w:t>
            </w:r>
            <w:r>
              <w:t xml:space="preserve">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1" w:name="_Место_поставки_товара/"/>
            <w:r/>
            <w:bookmarkEnd w:id="12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446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446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2" w:name="_Сроки_поставки_товара/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446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446"/>
                </w:rPr>
                <w:t xml:space="preserve">V «ТЕХНИЧЕСКАЯ ЧАСТЬ»</w:t>
              </w:r>
            </w:hyperlink>
            <w:r>
              <w:t xml:space="preserve"> настоящей документации о за</w:t>
            </w:r>
            <w:r>
              <w:t xml:space="preserve">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3" w:name="_Форма,_сроки_и"/>
            <w:r/>
            <w:bookmarkEnd w:id="123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1446"/>
                </w:rPr>
                <w:t xml:space="preserve">IV «ПРОЕКТ </w:t>
              </w:r>
              <w:r>
                <w:rPr>
                  <w:rStyle w:val="1446"/>
                </w:rPr>
                <w:t xml:space="preserve">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4" w:name="_Сведения_о"/>
            <w:r/>
            <w:bookmarkStart w:id="125" w:name="_Сведения_о_начальной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446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shd w:val="clear" w:color="ffffff" w:themeColor="background1" w:fill="ffffff" w:themeFill="background1"/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</w:t>
            </w:r>
            <w:r>
              <w:t xml:space="preserve">50 000 000,00 </w:t>
            </w:r>
            <w:r>
              <w:rPr>
                <w:bCs/>
                <w:lang w:eastAsia="ar-SA"/>
              </w:rPr>
              <w:t xml:space="preserve">рублей без НДС / </w:t>
            </w:r>
            <w:r>
              <w:t xml:space="preserve">61 000 000,00 </w:t>
            </w:r>
            <w:r>
              <w:rPr>
                <w:bCs/>
                <w:lang w:eastAsia="ar-SA"/>
              </w:rPr>
              <w:t xml:space="preserve">рублей с НДС</w:t>
            </w:r>
            <w:r>
              <w:t xml:space="preserve">.</w:t>
            </w:r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</w:t>
            </w:r>
            <w:r>
              <w:rPr>
                <w:shd w:val="clear" w:color="auto" w:fill="ffffff" w:themeFill="background1"/>
              </w:rPr>
              <w:t xml:space="preserve"> основании расчетов стоимости работ с применением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b/>
                <w:color w:val="ff0000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</w:t>
            </w:r>
            <w:r>
              <w:rPr>
                <w:b/>
                <w:color w:val="0000cc"/>
              </w:rPr>
              <w:t xml:space="preserve">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shd w:val="clear" w:color="auto" w:fill="ffffff" w:themeFill="background1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</w:t>
            </w:r>
            <w:r>
              <w:rPr>
                <w:shd w:val="clear" w:color="auto" w:fill="ffffff" w:themeFill="background1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</w:t>
            </w:r>
            <w:r>
              <w:rPr>
                <w:shd w:val="clear" w:color="auto" w:fill="ffffff" w:themeFill="background1"/>
              </w:rPr>
              <w:t xml:space="preserve">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</w:t>
            </w:r>
            <w:r>
              <w:rPr>
                <w:rFonts w:eastAsia="Calibri"/>
                <w:shd w:val="clear" w:color="auto" w:fill="ffffff" w:themeFill="background1"/>
              </w:rPr>
              <w:t xml:space="preserve">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eastAsia="Calibri"/>
                <w:shd w:val="clear" w:color="auto" w:fill="ffffff" w:themeFill="background1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228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37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1446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Порядок,_д"/>
            <w:r/>
            <w:bookmarkStart w:id="127" w:name="_Порядок,_дата_начала,"/>
            <w:r/>
            <w:bookmarkEnd w:id="126"/>
            <w:r/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Дата_рассмотрения_предложений"/>
            <w:r/>
            <w:bookmarkEnd w:id="12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9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1539"/>
              <w:numPr>
                <w:ilvl w:val="0"/>
                <w:numId w:val="94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1539"/>
              <w:numPr>
                <w:ilvl w:val="0"/>
                <w:numId w:val="94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1539"/>
              <w:numPr>
                <w:ilvl w:val="0"/>
                <w:numId w:val="94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1555"/>
            </w:pPr>
            <w:r/>
            <w:r/>
          </w:p>
          <w:p>
            <w:pPr>
              <w:pStyle w:val="1555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1555"/>
              <w:jc w:val="both"/>
            </w:pPr>
            <w:r/>
            <w:r/>
          </w:p>
          <w:p>
            <w:pPr>
              <w:pStyle w:val="1555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«05</w:t>
            </w:r>
            <w:r>
              <w:t xml:space="preserve">»июня </w:t>
            </w:r>
            <w:r>
              <w:t xml:space="preserve">2026 года;</w:t>
            </w:r>
            <w:r/>
          </w:p>
          <w:p>
            <w:pPr>
              <w:pStyle w:val="1555"/>
              <w:jc w:val="both"/>
            </w:pPr>
            <w:r/>
            <w:r/>
          </w:p>
          <w:p>
            <w:pPr>
              <w:pStyle w:val="1555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</w:rPr>
              <w:t xml:space="preserve">снений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555"/>
              <w:jc w:val="both"/>
              <w:rPr>
                <w:highlight w:val="white"/>
              </w:rPr>
            </w:pPr>
            <w:r>
              <w:t xml:space="preserve">«</w:t>
            </w:r>
            <w:r>
              <w:rPr>
                <w:highlight w:val="white"/>
              </w:rPr>
              <w:t xml:space="preserve">22</w:t>
            </w:r>
            <w:r>
              <w:rPr>
                <w:highlight w:val="white"/>
              </w:rPr>
              <w:t xml:space="preserve">» июня</w:t>
            </w:r>
            <w:r>
              <w:rPr>
                <w:highlight w:val="white"/>
              </w:rPr>
              <w:t xml:space="preserve"> 2026 года </w:t>
            </w:r>
            <w:r>
              <w:rPr>
                <w:highlight w:val="white"/>
              </w:rPr>
              <w:t xml:space="preserve">13:00</w:t>
            </w:r>
            <w:r>
              <w:rPr>
                <w:highlight w:val="white"/>
              </w:rPr>
              <w:t xml:space="preserve">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55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white"/>
              </w:rPr>
              <w:t xml:space="preserve">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55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«22</w:t>
            </w:r>
            <w:r>
              <w:rPr>
                <w:highlight w:val="white"/>
              </w:rPr>
              <w:t xml:space="preserve">» июня</w:t>
            </w:r>
            <w:r>
              <w:rPr>
                <w:highlight w:val="white"/>
              </w:rPr>
              <w:t xml:space="preserve"> 2026 года </w:t>
            </w:r>
            <w:r>
              <w:rPr>
                <w:highlight w:val="white"/>
              </w:rPr>
              <w:t xml:space="preserve">14:00</w:t>
            </w:r>
            <w:r>
              <w:rPr>
                <w:highlight w:val="white"/>
              </w:rPr>
              <w:t xml:space="preserve">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55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55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1555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</w:p>
          <w:p>
            <w:pPr>
              <w:pStyle w:val="1555"/>
              <w:jc w:val="both"/>
            </w:pPr>
            <w:r>
              <w:t xml:space="preserve">Дата проведения этапа: «10</w:t>
            </w:r>
            <w:r>
              <w:t xml:space="preserve">» июля</w:t>
            </w:r>
            <w:r>
              <w:t xml:space="preserve"> 2026 года.</w:t>
            </w:r>
            <w:r/>
          </w:p>
          <w:p>
            <w:pPr>
              <w:pStyle w:val="1555"/>
              <w:jc w:val="both"/>
            </w:pPr>
            <w:r/>
            <w:r/>
          </w:p>
          <w:p>
            <w:pPr>
              <w:pStyle w:val="1555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</w:t>
            </w:r>
            <w:bookmarkStart w:id="0" w:name="undefined"/>
            <w:r/>
            <w:bookmarkEnd w:id="0"/>
            <w:r>
              <w:rPr>
                <w:color w:val="000000"/>
                <w:lang w:eastAsia="en-US"/>
              </w:rPr>
              <w:t xml:space="preserve">) часов</w:t>
            </w:r>
            <w:r>
              <w:rPr>
                <w:color w:val="000000"/>
                <w:lang w:eastAsia="en-US"/>
              </w:rPr>
              <w:t xml:space="preserve">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1555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1555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555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1555"/>
              <w:jc w:val="both"/>
            </w:pPr>
            <w:r>
              <w:t xml:space="preserve">Дата проведения этапа: «17</w:t>
            </w:r>
            <w:r>
              <w:t xml:space="preserve">» июля</w:t>
            </w:r>
            <w:r>
              <w:t xml:space="preserve"> 2026 года.</w:t>
            </w:r>
            <w:r/>
          </w:p>
          <w:p>
            <w:pPr>
              <w:pStyle w:val="1555"/>
              <w:jc w:val="both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Адрес_элек"/>
            <w:r/>
            <w:bookmarkStart w:id="131" w:name="_Адрес_электронной_площадки"/>
            <w:r/>
            <w:bookmarkEnd w:id="130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rStyle w:val="1446"/>
              </w:rPr>
            </w:r>
            <w:r>
              <w:rPr>
                <w:rStyle w:val="1446"/>
              </w:rPr>
              <w:t xml:space="preserve">https://tender.lot-online.ru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32" w:name="_Размер_обе"/>
            <w:r>
              <w:rPr>
                <w:highlight w:val="none"/>
              </w:rPr>
            </w:r>
            <w:bookmarkStart w:id="133" w:name="_Размер_обеспечения_заявок"/>
            <w:r>
              <w:rPr>
                <w:highlight w:val="none"/>
              </w:rPr>
            </w:r>
            <w:bookmarkEnd w:id="132"/>
            <w:r>
              <w:rPr>
                <w:highlight w:val="none"/>
              </w:rPr>
            </w:r>
            <w:bookmarkEnd w:id="133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Сумма обеспечения заявки предусмотрена в размере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 2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% </w:t>
            </w:r>
            <w:r>
              <w:rPr>
                <w:highlight w:val="none"/>
              </w:rPr>
              <w:t xml:space="preserve">от начальной (максимальной) цены договора, что составляет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1 220 000,00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руб.,</w:t>
            </w:r>
            <w:r>
              <w:rPr>
                <w:highlight w:val="none"/>
              </w:rPr>
              <w:t xml:space="preserve"> НДС не облагается.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none"/>
              </w:rPr>
              <w:t xml:space="preserve">Лицевой счет участника закупки, открытый оператором электронной площадки в соот</w:t>
            </w:r>
            <w:r>
              <w:rPr>
                <w:highlight w:val="none"/>
              </w:rPr>
              <w:t xml:space="preserve">ветствии с правилами, установленными Регламентом работы ЭТП</w:t>
            </w:r>
            <w:r>
              <w:rPr>
                <w:bCs/>
                <w:highlight w:val="non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bCs/>
                <w:highlight w:val="none"/>
              </w:rPr>
            </w:pPr>
            <w:r>
              <w:rPr>
                <w:highlight w:val="none"/>
              </w:rPr>
              <w:t xml:space="preserve">Порядок и случаи блокирования денежных средств, внесенных</w:t>
            </w:r>
            <w:r>
              <w:rPr>
                <w:highlight w:val="none"/>
              </w:rPr>
              <w:t xml:space="preserve">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none"/>
              </w:rPr>
              <w:t xml:space="preserve">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Cs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rStyle w:val="1446"/>
                <w:highlight w:val="none"/>
              </w:rPr>
            </w:pPr>
            <w:r>
              <w:rPr>
                <w:bCs/>
                <w:highlight w:val="none"/>
              </w:rPr>
              <w:t xml:space="preserve">Требования к такому обеспечению, в том числе условия независимой гарантии установлены в </w:t>
            </w:r>
            <w:r>
              <w:rPr>
                <w:bCs/>
                <w:highlight w:val="none"/>
              </w:rPr>
              <w:t xml:space="preserve">пункте </w:t>
            </w:r>
            <w:hyperlink w:tooltip="#_Требования_к_обеспечению" w:anchor="_3.6._Требо" w:history="1">
              <w:r>
                <w:rPr>
                  <w:rStyle w:val="1446"/>
                  <w:highlight w:val="non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rStyle w:val="1446"/>
                <w:highlight w:val="none"/>
              </w:rPr>
            </w:r>
            <w:r>
              <w:rPr>
                <w:rStyle w:val="1446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4" w:name="_Информация"/>
            <w:r/>
            <w:bookmarkStart w:id="135" w:name="_Сведения_о_предоставлении"/>
            <w:r/>
            <w:bookmarkEnd w:id="134"/>
            <w:r/>
            <w:bookmarkEnd w:id="13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 «О мерах по предоставлению национального режим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t xml:space="preserve">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6" w:name="_Единые_требования_к"/>
            <w:r/>
            <w:bookmarkStart w:id="137" w:name="Par55"/>
            <w:r/>
            <w:bookmarkEnd w:id="13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37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обладать гражданской правоспособностью в полном объеме для заключения и исполнения Договора;</w:t>
            </w:r>
            <w:r/>
          </w:p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не должен являться неплатежеспособным или банкротом, должно отсутствовать вступившее в законную силу решен</w:t>
            </w:r>
            <w:r>
              <w:t xml:space="preserve">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приостановлена;</w:t>
            </w:r>
            <w:r/>
          </w:p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rPr>
                <w:bCs/>
              </w:rPr>
              <w:t xml:space="preserve">должна отсутствовать недоимка по налогам, сборам, задолженность по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</w:t>
            </w:r>
            <w:r>
              <w:rPr>
                <w:bCs/>
              </w:rPr>
              <w:t xml:space="preserve">ника, по данным бухгалтерской отчетности за последний отчетный период;</w:t>
            </w:r>
            <w:r/>
          </w:p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должно </w:t>
            </w:r>
            <w:r>
              <w:rPr>
                <w:lang w:eastAsia="zh-CN"/>
              </w:rPr>
              <w:t xml:space="preserve">отсутствовать административ</w:t>
            </w:r>
            <w:r>
              <w:rPr>
                <w:lang w:eastAsia="zh-CN"/>
              </w:rPr>
              <w:t xml:space="preserve">ное наказание в виде дисквалификации.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38" w:tooltip="http://fssprus.ru/" w:history="1">
              <w:r>
                <w:rPr>
                  <w:rStyle w:val="1446"/>
                  <w:lang w:eastAsia="zh-CN"/>
                </w:rPr>
                <w:t xml:space="preserve">http://fssprus.ru/</w:t>
              </w:r>
            </w:hyperlink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в течение двух </w:t>
            </w:r>
            <w:r>
              <w:t xml:space="preserve">лет до момента подачи заявки на участие в закупке, участник закупки не должен иметь фактов привлечения к административной ответственности за совершение административного правонарушения, предусмотренного </w:t>
            </w:r>
            <w:hyperlink r:id="rId39" w:tooltip="http://www.consultant.ru/document/cons_doc_LAW_34661/f61ff313afecf81a91a43d729c2df55c1d6a1533/" w:history="1">
              <w:r>
                <w:rPr>
                  <w:rStyle w:val="1446"/>
                </w:rPr>
                <w:t xml:space="preserve">статьей 19.28</w:t>
              </w:r>
            </w:hyperlink>
            <w:r>
              <w:t xml:space="preserve"> Кодекса Российской Федерации об административных правонарушениях;</w:t>
            </w:r>
            <w:r/>
          </w:p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</w:t>
            </w:r>
            <w:r>
              <w:t xml:space="preserve">ий об Участнике в </w:t>
            </w:r>
            <w:hyperlink r:id="rId40" w:tooltip="https://zakupki.gov.ru/epz/dishonestsupplier/search/results.html" w:history="1">
              <w:r>
                <w:rPr>
                  <w:rStyle w:val="1446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1" w:tooltip="https://www.consultant.ru/document/cons_doc_LAW_116964/a3b63487ad7d07ce045a07b0f1e7a9d9b064de95/?ysclid=lgq77170fl163638946" w:history="1">
              <w:r>
                <w:rPr>
                  <w:rStyle w:val="1446"/>
                </w:rPr>
                <w:t xml:space="preserve">Фед</w:t>
              </w:r>
              <w:r>
                <w:rPr>
                  <w:rStyle w:val="1446"/>
                </w:rPr>
                <w:t xml:space="preserve">еральным законом от 18.07.2011 № 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2" w:tooltip="https://zakupki.gov.ru/epz/dishonestsupplier/search/results.html" w:history="1">
              <w:r>
                <w:rPr>
                  <w:rStyle w:val="1446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3" w:tooltip="https://www.consultant.ru/document/cons_doc_LAW_144624/af90cad46f4484d18fa490ef1c9d7a3b2fd3be3b/" w:history="1">
              <w:r>
                <w:rPr>
                  <w:rStyle w:val="1446"/>
                </w:rPr>
                <w:t xml:space="preserve">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    отсутствие сведений об У</w:t>
            </w:r>
            <w:r>
              <w:t xml:space="preserve">частнике в </w:t>
            </w:r>
            <w:hyperlink r:id="rId44" w:tooltip="https://minjust.gov.ru/ru/activity/directions/998/" w:history="1">
              <w:r>
                <w:rPr>
                  <w:rStyle w:val="1446"/>
                </w:rPr>
                <w:t xml:space="preserve">Реестре</w:t>
              </w:r>
            </w:hyperlink>
            <w:r>
              <w:t xml:space="preserve"> иностранных агентов, размещенном на официальном сайте уполномоченного органа в информационно-телекоммуникационной </w:t>
            </w:r>
            <w:r>
              <w:t xml:space="preserve">сети «Интернет», который ведется в соответствии с </w:t>
            </w:r>
            <w:hyperlink r:id="rId45" w:tooltip="https://www.consultant.ru/document/cons_doc_LAW_421788/?ysclid=lg20fc4h7v470804950" w:history="1">
              <w:r>
                <w:rPr>
                  <w:rStyle w:val="1446"/>
                </w:rPr>
                <w:t xml:space="preserve">Федеральным законом</w:t>
              </w:r>
              <w:r>
                <w:rPr>
                  <w:rStyle w:val="1446"/>
                </w:rPr>
                <w:t xml:space="preserve">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38" w:name="_Требования,_установленные_в"/>
            <w:r>
              <w:rPr>
                <w:highlight w:val="none"/>
              </w:rPr>
            </w:r>
            <w:bookmarkEnd w:id="138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9"/>
              <w:numPr>
                <w:ilvl w:val="1"/>
                <w:numId w:val="14"/>
              </w:numPr>
              <w:contextualSpacing/>
              <w:ind w:left="0" w:firstLine="283"/>
              <w:jc w:val="both"/>
              <w:shd w:val="clear" w:color="ffffff" w:themeColor="background1" w:fill="ffffff" w:themeFill="background1"/>
              <w:tabs>
                <w:tab w:val="left" w:pos="459" w:leader="none"/>
              </w:tabs>
              <w:rPr>
                <w:highlight w:val="none"/>
              </w:rPr>
            </w:pP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Участник должен быть членом саморегулируемой организации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9"/>
              <w:numPr>
                <w:ilvl w:val="0"/>
                <w:numId w:val="30"/>
              </w:numPr>
              <w:ind w:left="0" w:firstLine="283"/>
              <w:jc w:val="both"/>
              <w:shd w:val="clear" w:color="ffffff" w:themeColor="background1" w:fill="ffffff" w:themeFill="background1"/>
              <w:rPr>
                <w:i/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инженерных изысканий</w:t>
            </w:r>
            <w:r>
              <w:rPr>
                <w:highlight w:val="none"/>
              </w:rPr>
              <w:t xml:space="preserve"> (не требуется членство в саморегулируемых организациях в области инженерных изысканий в случаях, которые перечислены в части </w:t>
            </w:r>
            <w:hyperlink r:id="rId46" w:tooltip="https://www.consultant.ru/document/cons_doc_LAW_51040/f651879e0acd4680a6fdc29f983536624055cbcc/?ysclid=lh7dhcp1aq961991988#dst1676" w:anchor="dst1676" w:history="1">
              <w:r>
                <w:rPr>
                  <w:rStyle w:val="1446"/>
                  <w:highlight w:val="none"/>
                </w:rPr>
                <w:t xml:space="preserve">2.1 статьи 47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</w:t>
            </w:r>
            <w:r>
              <w:rPr>
                <w:highlight w:val="none"/>
              </w:rPr>
              <w:t xml:space="preserve">ммуникационной сети «Интернет», на которых размещены эти информация и документы: </w:t>
            </w:r>
            <w:hyperlink r:id="rId47" w:tooltip="https://nopriz.ru/" w:history="1">
              <w:r>
                <w:rPr>
                  <w:rStyle w:val="1446"/>
                  <w:highlight w:val="none"/>
                </w:rPr>
                <w:t xml:space="preserve">https://nopriz.ru/</w:t>
              </w:r>
            </w:hyperlink>
            <w:r>
              <w:rPr>
                <w:highlight w:val="none"/>
              </w:rPr>
              <w:t xml:space="preserve">;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1539"/>
              <w:numPr>
                <w:ilvl w:val="0"/>
                <w:numId w:val="30"/>
              </w:numPr>
              <w:ind w:left="0" w:firstLine="283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проектирования</w:t>
            </w:r>
            <w:r>
              <w:rPr>
                <w:highlight w:val="none"/>
              </w:rPr>
              <w:t xml:space="preserve"> (не требуется членство в саморегулируемых организациях в области архитектурно-строительного проектирования в случаях, которые перечислен</w:t>
            </w:r>
            <w:r>
              <w:rPr>
                <w:highlight w:val="none"/>
              </w:rPr>
              <w:t xml:space="preserve">ы в </w:t>
            </w:r>
            <w:hyperlink r:id="rId48" w:tooltip="https://www.consultant.ru/document/cons_doc_LAW_51040/b884020ea7453099ba8bc9ca021b84982cadea7d/?ysclid=lh7dkmbcyr186717647#dst1683" w:anchor="dst1683" w:history="1">
              <w:r>
                <w:rPr>
                  <w:rStyle w:val="1446"/>
                  <w:highlight w:val="none"/>
                </w:rPr>
                <w:t xml:space="preserve">части 4.1 статьи 48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49" w:tooltip="https://nopriz.ru/" w:history="1">
              <w:r>
                <w:rPr>
                  <w:rStyle w:val="1446"/>
                  <w:highlight w:val="none"/>
                </w:rPr>
                <w:t xml:space="preserve">https://nopriz.ru/</w:t>
              </w:r>
            </w:hyperlink>
            <w:r>
              <w:rPr>
                <w:highlight w:val="none"/>
              </w:rPr>
              <w:t xml:space="preserve">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9"/>
              <w:numPr>
                <w:ilvl w:val="0"/>
                <w:numId w:val="30"/>
              </w:numPr>
              <w:ind w:left="0" w:firstLine="283"/>
              <w:jc w:val="both"/>
              <w:shd w:val="clear" w:color="ffffff" w:themeColor="background1" w:fill="ffffff" w:themeFill="background1"/>
              <w:rPr>
                <w:i/>
                <w:highlight w:val="none"/>
              </w:rPr>
            </w:pP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в области строительства, р</w:t>
            </w:r>
            <w:r>
              <w:rPr>
                <w:b/>
                <w:highlight w:val="none"/>
                <w:shd w:val="clear" w:color="ddebf6" w:themeColor="accent1" w:themeTint="33" w:fill="ddebf6" w:themeFill="accent1" w:themeFillTint="33"/>
              </w:rPr>
              <w:t xml:space="preserve">еконструкции, капитального ремонта объектов капитального строительства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 </w:t>
            </w:r>
            <w:r>
              <w:rPr>
                <w:highlight w:val="none"/>
              </w:rPr>
              <w:t xml:space="preserve">(не требуется членство в саморегулируемых организациях в области строительства, реконструкции, капитального ремонта в случаях, которые перечислены в </w:t>
            </w:r>
            <w:hyperlink r:id="rId50" w:tooltip="https://www.consultant.ru/document/cons_doc_LAW_51040/df32b8231cf067c4d4e864c717eb6b398358b504/?ysclid=lh7dmiyi73943741650#dst1696" w:anchor="dst1696" w:history="1">
              <w:r>
                <w:rPr>
                  <w:rStyle w:val="1446"/>
                  <w:highlight w:val="none"/>
                </w:rPr>
                <w:t xml:space="preserve">част</w:t>
              </w:r>
              <w:r>
                <w:rPr>
                  <w:rStyle w:val="1446"/>
                  <w:highlight w:val="none"/>
                </w:rPr>
                <w:t xml:space="preserve">и 2.1 и в части 2.2 статьи 52 Градостроительного кодекса Российской Федерации</w:t>
              </w:r>
            </w:hyperlink>
            <w:r>
              <w:rPr>
                <w:highlight w:val="non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51" w:tooltip="https://nostroy.ru/" w:history="1">
              <w:r>
                <w:rPr>
                  <w:rStyle w:val="1446"/>
                  <w:highlight w:val="none"/>
                </w:rPr>
                <w:t xml:space="preserve">https://nostroy.ru/</w:t>
              </w:r>
            </w:hyperlink>
            <w:r>
              <w:rPr>
                <w:rStyle w:val="1446"/>
                <w:color w:val="auto"/>
                <w:highlight w:val="none"/>
                <w:u w:val="none"/>
              </w:rPr>
              <w:t xml:space="preserve">;</w:t>
            </w:r>
            <w:r>
              <w:rPr>
                <w:rStyle w:val="1446"/>
                <w:i/>
                <w:color w:val="auto"/>
                <w:highlight w:val="none"/>
                <w:u w:val="none"/>
              </w:rPr>
              <w:t xml:space="preserve"> </w:t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pStyle w:val="1539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Участник закупки, должен иметь право выполнять работы в отношении объектов капитального строительства (кроме особо опасных, технически сложных и уникальных объектов, а также объектов использования атомной энергии).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539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Саморегулируемая</w:t>
            </w:r>
            <w:r>
              <w:rPr>
                <w:highlight w:val="none"/>
              </w:rPr>
              <w:t xml:space="preserve"> организация, в которой состоит участник, должна иметь компенсационный фонд обеспечения договорных обязательств.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Совокупный размер обязательств участника закупки по договорам, которые заключены с использованием конкурентных способов, не должен превышать ур</w:t>
            </w:r>
            <w:r>
              <w:rPr>
                <w:highlight w:val="none"/>
              </w:rPr>
              <w:t xml:space="preserve">овень ответственности участника по компенсационному фонду обеспечения договорных обязательств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539"/>
              <w:contextualSpacing/>
              <w:ind w:left="0"/>
              <w:jc w:val="both"/>
              <w:tabs>
                <w:tab w:val="left" w:pos="351" w:leader="none"/>
              </w:tabs>
            </w:pPr>
            <w:r/>
            <w:bookmarkStart w:id="139" w:name="_Квалификационные_требования_к"/>
            <w:r/>
            <w:bookmarkStart w:id="140" w:name="Par56"/>
            <w:r/>
            <w:bookmarkEnd w:id="139"/>
            <w:r>
              <w:t xml:space="preserve">Иные отборочные критерии, установленные в соответствии </w:t>
            </w:r>
            <w:bookmarkEnd w:id="140"/>
            <w:r>
              <w:t xml:space="preserve">с   Приложением 1 к «Типовым требованиям к участникам закупок, критериям и порядку оценки заявок участников зак</w:t>
            </w:r>
            <w:r>
              <w:t xml:space="preserve">упок» Единого стандарта ПАО «Россети»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32"/>
              </w:numPr>
              <w:contextualSpacing/>
              <w:ind w:left="0" w:firstLine="283"/>
              <w:jc w:val="both"/>
              <w:shd w:val="clear" w:color="ffffff" w:themeColor="background1" w:fill="ffffff" w:themeFill="background1"/>
              <w:tabs>
                <w:tab w:val="left" w:pos="459" w:leader="none"/>
              </w:tabs>
            </w:pPr>
            <w:r>
              <w:t xml:space="preserve">должен иметь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 опыт исполнения аналог</w:t>
            </w:r>
            <w:r>
              <w:t xml:space="preserve">ичных договоров на общую сумму (без НДС) не менее 80% (восемьдесят процентов) стоимости начальной (максимальной) цены договора (лота) (без НДС), установленной в настоящей информационной карте закупки.</w:t>
            </w:r>
            <w:r/>
          </w:p>
          <w:p>
            <w:pPr>
              <w:contextualSpacing/>
              <w:jc w:val="both"/>
              <w:spacing w:after="0" w:line="240" w:lineRule="auto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При этом аналогичными договорами будут признаны договор</w:t>
            </w:r>
            <w:r>
              <w:rPr>
                <w:b/>
                <w:highlight w:val="none"/>
              </w:rPr>
              <w:t xml:space="preserve">ы на: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contextualSpacing/>
              <w:jc w:val="both"/>
              <w:spacing w:after="0" w:line="240" w:lineRule="auto"/>
              <w:shd w:val="clear" w:color="ffffff" w:themeColor="background1" w:fill="ffffff" w:themeFill="background1"/>
            </w:pPr>
            <w:r>
              <w:rPr>
                <w:b/>
                <w:highlight w:val="none"/>
              </w:rPr>
              <w:t xml:space="preserve"> </w:t>
            </w:r>
            <w:r>
              <w:rPr>
                <w:b/>
                <w:highlight w:val="none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b/>
                <w:highlight w:val="none"/>
              </w:rPr>
            </w:r>
            <w:r/>
          </w:p>
          <w:p>
            <w:pPr>
              <w:contextualSpacing/>
              <w:jc w:val="both"/>
              <w:spacing w:after="0" w:line="240" w:lineRule="auto"/>
              <w:shd w:val="clear" w:color="ffffff" w:themeColor="background1" w:fill="ffffff" w:themeFill="background1"/>
            </w:pPr>
            <w:r>
              <w:rPr>
                <w:b/>
                <w:highlight w:val="none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кВт.</w:t>
            </w:r>
            <w:r>
              <w:rPr>
                <w:b/>
                <w:highlight w:val="none"/>
              </w:rPr>
            </w:r>
            <w:r/>
          </w:p>
          <w:p>
            <w:pPr>
              <w:contextualSpacing/>
              <w:jc w:val="both"/>
              <w:spacing w:after="0" w:line="240" w:lineRule="auto"/>
              <w:shd w:val="clear" w:color="ffffff" w:themeColor="background1" w:fill="ffffff" w:themeFill="background1"/>
              <w:rPr>
                <w:b w:val="0"/>
                <w:bCs/>
                <w:i/>
                <w:color w:val="100cf2"/>
                <w:highlight w:val="none"/>
              </w:rPr>
            </w:pPr>
            <w:r>
              <w:rPr>
                <w:b/>
                <w:highlight w:val="none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b w:val="0"/>
                <w:bCs w:val="0"/>
                <w:i/>
                <w:iCs/>
                <w:color w:val="100cf2"/>
                <w:highlight w:val="none"/>
              </w:rPr>
              <w:t xml:space="preserve">.</w:t>
            </w:r>
            <w:r>
              <w:rPr>
                <w:b w:val="0"/>
                <w:bCs/>
                <w:i/>
                <w:color w:val="100cf2"/>
                <w:highlight w:val="none"/>
              </w:rPr>
            </w:r>
            <w:r>
              <w:rPr>
                <w:b w:val="0"/>
                <w:bCs/>
                <w:i/>
                <w:color w:val="100cf2"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b/>
                <w:bCs/>
                <w:i/>
                <w:u w:val="single"/>
              </w:rPr>
            </w:pPr>
            <w:r>
              <w:rPr>
                <w:b/>
                <w:highlight w:val="yellow"/>
              </w:rPr>
            </w:r>
            <w:r>
              <w:rPr>
                <w:b/>
                <w:bCs/>
                <w:i/>
                <w:u w:val="single"/>
              </w:rPr>
            </w:r>
            <w:r>
              <w:rPr>
                <w:b/>
                <w:bCs/>
                <w:i/>
                <w:u w:val="single"/>
              </w:rPr>
            </w:r>
          </w:p>
          <w:p>
            <w:pPr>
              <w:spacing w:after="0"/>
              <w:shd w:val="clear" w:color="ffffff" w:themeColor="background1" w:fill="ffffff" w:themeFill="background1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</w:t>
            </w:r>
            <w:r>
              <w:t xml:space="preserve">иной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</w:t>
            </w:r>
            <w:r>
              <w:t xml:space="preserve">на), либо в актах выполненных работ. </w:t>
            </w:r>
            <w:r/>
          </w:p>
          <w:p>
            <w:pPr>
              <w:pStyle w:val="1513"/>
              <w:ind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1" w:name="_Сведения_и"/>
            <w:r/>
            <w:bookmarkStart w:id="142" w:name="_Сведения_и_документы,"/>
            <w:r/>
            <w:bookmarkStart w:id="143" w:name="Par66"/>
            <w:r/>
            <w:bookmarkEnd w:id="141"/>
            <w:r/>
            <w:bookmarkEnd w:id="14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43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ценового предложения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Комм" w:history="1">
              <w:r>
                <w:rPr>
                  <w:rStyle w:val="1446"/>
                  <w:lang w:eastAsia="en-US"/>
                </w:rPr>
                <w:t xml:space="preserve">КОММЕРЧЕСКОЕ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</w:t>
            </w:r>
            <w:r>
              <w:rPr>
                <w:lang w:eastAsia="en-US"/>
              </w:rPr>
              <w:t xml:space="preserve">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/>
                <w:bCs/>
                <w:color w:val="ff0000"/>
                <w:u w:val="single"/>
                <w:lang w:eastAsia="en-US"/>
              </w:rPr>
              <w:t xml:space="preserve">Примечание:</w:t>
            </w:r>
            <w:r>
              <w:rPr>
                <w:bCs/>
                <w:color w:val="ff0000"/>
                <w:lang w:eastAsia="en-US"/>
              </w:rPr>
              <w:t xml:space="preserve"> участник закупки в </w:t>
            </w:r>
            <w:hyperlink w:tooltip="#_ФОРМА_Коммерческое_предложение" w:anchor="_ФОРМА_Комм" w:history="1">
              <w:r>
                <w:rPr>
                  <w:rStyle w:val="1446"/>
                  <w:bCs/>
                  <w:lang w:eastAsia="en-US"/>
                </w:rPr>
                <w:t xml:space="preserve">КОММЕРЧЕСКОМ ПРЕДЛОЖЕНИИ</w:t>
              </w:r>
            </w:hyperlink>
            <w:r>
              <w:rPr>
                <w:bCs/>
                <w:color w:val="ff0000"/>
                <w:lang w:eastAsia="en-US"/>
              </w:rPr>
              <w:t xml:space="preserve"> должен указать предложение о коэффициенте понижения цены.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формировании ценовой части заявки участник закупки указывает в форме, заполняемой на ЭТП, условную итоговую стоимость заявки участника.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этом участник закупки загружает в ценовую часть заявки на ЭТП заполненный файл </w:t>
            </w:r>
            <w:hyperlink w:tooltip="#_ФОРМА_Коммерческое_предложение" w:anchor="_ФОРМА_Комм" w:history="1">
              <w:r>
                <w:rPr>
                  <w:rStyle w:val="1446"/>
                  <w:bCs/>
                  <w:lang w:eastAsia="en-US"/>
                </w:rPr>
                <w:t xml:space="preserve">КОММЕРЧЕСКОГО ПРЕДЛОЖЕНИЯ</w:t>
              </w:r>
            </w:hyperlink>
            <w:r>
              <w:rPr>
                <w:bCs/>
                <w:color w:val="ff0000"/>
                <w:lang w:eastAsia="en-US"/>
              </w:rPr>
              <w:t xml:space="preserve"> в редактируемом формате и в виде сканированного образа документа, подписанного</w:t>
            </w:r>
            <w:r>
              <w:rPr>
                <w:bCs/>
                <w:color w:val="ff0000"/>
                <w:lang w:eastAsia="en-US"/>
              </w:rPr>
              <w:t xml:space="preserve"> уполномоченным лицом участника.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общей части заявки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Style w:val="1446"/>
                <w:color w:val="auto"/>
                <w:u w:val="none"/>
                <w:lang w:eastAsia="en-US"/>
              </w:rPr>
            </w:pPr>
            <w:r>
              <w:rPr>
                <w:color w:val="auto"/>
                <w:u w:val="none"/>
                <w:lang w:eastAsia="en-US"/>
              </w:rPr>
            </w:r>
            <w:r>
              <w:rPr>
                <w:rStyle w:val="1446"/>
                <w:color w:val="auto"/>
                <w:u w:val="none"/>
                <w:lang w:eastAsia="en-US"/>
              </w:rPr>
            </w:r>
            <w:r>
              <w:rPr>
                <w:rStyle w:val="1446"/>
                <w:color w:val="auto"/>
                <w:u w:val="none"/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ТЕХН" w:history="1">
              <w:r>
                <w:rPr>
                  <w:rStyle w:val="1446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</w:t>
            </w:r>
            <w:r>
              <w:rPr>
                <w:lang w:eastAsia="en-US"/>
              </w:rPr>
              <w:t xml:space="preserve">тации о закупке (часть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/>
            <w:hyperlink w:tooltip="#_ФОРМА_Письмо_о" w:anchor="_ФОРМА_Пись" w:history="1">
              <w:r>
                <w:rPr>
                  <w:rStyle w:val="1446"/>
                  <w:lang w:eastAsia="en-US"/>
                </w:rPr>
                <w:t xml:space="preserve">ПИСЬМО О ПОДАЧЕ ОФЕРТЫ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 по форме и в соответствии с инструкциями, приведенны</w:t>
            </w:r>
            <w:r>
              <w:rPr>
                <w:rStyle w:val="1446"/>
                <w:color w:val="auto"/>
                <w:u w:val="none"/>
                <w:lang w:eastAsia="en-US"/>
              </w:rPr>
              <w:t xml:space="preserve">ми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 полно</w:t>
            </w:r>
            <w:r>
              <w:rPr>
                <w:lang w:eastAsia="en-US"/>
              </w:rPr>
              <w:t xml:space="preserve">мочия лица, подписавшего Заявку,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Выпис</w:t>
            </w:r>
            <w:r>
              <w:rPr>
                <w:lang w:eastAsia="en-US"/>
              </w:rPr>
              <w:t xml:space="preserve">ка из Единого государственного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подразделением Министерства Российской Ф</w:t>
            </w:r>
            <w:r>
              <w:rPr>
                <w:lang w:eastAsia="en-US"/>
              </w:rPr>
              <w:t xml:space="preserve">едерации по налогом и сборам </w:t>
            </w:r>
            <w:r>
              <w:rPr>
                <w:b/>
                <w:bCs/>
                <w:lang w:eastAsia="en-US"/>
              </w:rPr>
              <w:t xml:space="preserve">не ранее чем за 60 (шестьдесят) календарных дней до срока окончания приема Заявок</w:t>
            </w:r>
            <w:r>
              <w:rPr>
                <w:lang w:eastAsia="en-US"/>
              </w:rPr>
              <w:t xml:space="preserve">. Участник так же может предоставить  выписку из ЕГРЮЛ / ЕГРИП  подписанную усиленной квалифицированной электронной цифровой подписью налогового о</w:t>
            </w:r>
            <w:r>
              <w:rPr>
                <w:lang w:eastAsia="en-US"/>
              </w:rPr>
              <w:t xml:space="preserve">ргана, и сформированную, не ранее, чем за 60 (шестьдесят) календарных  дней до срока окончания приема Заявок, с использованием сервиса «Предоставление сведений из ЕГРЮЛ / ЕГРИП о конкретном юридическом лице/индивидуальном предпринимателе в форме электронно</w:t>
            </w:r>
            <w:r>
              <w:rPr>
                <w:lang w:eastAsia="en-US"/>
              </w:rPr>
              <w:t xml:space="preserve">го  документа», размещенного на официальном сайте ФНС России в сети Интернет по адресу </w:t>
            </w:r>
            <w:hyperlink r:id="rId52" w:tooltip="https://service.nalog.ru/vyp/" w:history="1">
              <w:r>
                <w:rPr>
                  <w:rStyle w:val="1446"/>
                  <w:lang w:eastAsia="en-US"/>
                </w:rPr>
                <w:t xml:space="preserve">https://service.nalog.ru/vyp/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Устав в действующей редакции со всеми изменениями и допол</w:t>
            </w:r>
            <w:r>
              <w:rPr>
                <w:lang w:eastAsia="en-US"/>
              </w:rPr>
              <w:t xml:space="preserve">нениями;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/>
            <w:hyperlink w:tooltip="#_ФОРМА_ПЛАН_РАСПРЕДЕЛЕНИЯ" w:anchor="_ФОРМА_План" w:history="1">
              <w:r>
                <w:rPr>
                  <w:rStyle w:val="1446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</w:t>
            </w:r>
            <w:r>
              <w:rPr>
                <w:lang w:eastAsia="en-US"/>
              </w:rPr>
              <w:t xml:space="preserve">закупке (часть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i/>
                <w:lang w:eastAsia="en-US"/>
              </w:rPr>
              <w:t xml:space="preserve"> (Предоставляется в случае участия в закупке Коллективного участника, отсутствие указанного документа в составе заявки означает, что колле</w:t>
            </w:r>
            <w:r>
              <w:rPr>
                <w:i/>
                <w:lang w:eastAsia="en-US"/>
              </w:rPr>
              <w:t xml:space="preserve">ктивный участник не принимает участие в закупке);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Анкета_участника" w:anchor="_ФОРМА_Анке" w:history="1">
              <w:r>
                <w:rPr>
                  <w:rStyle w:val="1446"/>
                  <w:lang w:eastAsia="en-US"/>
                </w:rPr>
                <w:t xml:space="preserve">АНКЕТА УЧАСТНИКА ЗАКУПКИ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из Единого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Федеральным законом 24</w:t>
            </w:r>
            <w:r>
              <w:rPr>
                <w:lang w:eastAsia="en-US"/>
              </w:rPr>
              <w:t xml:space="preserve">.07.2007 № 209-ФЗ «О развитии малого и среднего предпринимательства» </w:t>
            </w:r>
            <w:r>
              <w:rPr>
                <w:i/>
                <w:lang w:eastAsia="en-US"/>
              </w:rPr>
              <w:t xml:space="preserve">(предоставляется в случае, если Участник является субъектом малого или среднего предпринимательства);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>
              <w:rPr>
                <w:rFonts w:eastAsia="Calibri"/>
                <w:lang w:eastAsia="en-US"/>
              </w:rPr>
              <w:t xml:space="preserve">Справка об исполнении налогоплательщиком (плательщиком сбора, плательщиком страховых </w:t>
            </w:r>
            <w:r>
              <w:rPr>
                <w:rFonts w:eastAsia="Calibri"/>
                <w:lang w:eastAsia="en-US"/>
              </w:rPr>
              <w:t xml:space="preserve">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lang w:eastAsia="en-US"/>
              </w:rPr>
              <w:t xml:space="preserve">Форма по КНД 1120101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</w:rPr>
              <w:t xml:space="preserve"> полученная </w:t>
            </w:r>
            <w:r>
              <w:rPr>
                <w:b/>
                <w:bCs/>
              </w:rPr>
              <w:t xml:space="preserve">не ранее чем за 60 (шестьдесят) дней до срока окончания подачи заявок</w:t>
            </w:r>
            <w:r>
              <w:rPr>
                <w:rFonts w:eastAsia="Calibri"/>
              </w:rPr>
              <w:t xml:space="preserve">*.</w:t>
            </w:r>
            <w:r/>
          </w:p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Fonts w:eastAsia="Calibri"/>
                <w:i/>
                <w:iCs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*В случае наличия в предоставленной Сп</w:t>
            </w:r>
            <w:r>
              <w:rPr>
                <w:rFonts w:eastAsia="Calibri"/>
                <w:i/>
                <w:iCs/>
                <w:lang w:eastAsia="en-US"/>
              </w:rPr>
              <w:t xml:space="preserve">равке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1120101</w:t>
            </w:r>
            <w:r>
              <w:rPr>
                <w:rFonts w:eastAsia="Calibri"/>
                <w:i/>
                <w:iCs/>
                <w:lang w:eastAsia="en-US"/>
              </w:rPr>
              <w:t xml:space="preserve">) информации об имеющейся задолженности,</w:t>
            </w:r>
            <w:r>
              <w:rPr>
                <w:rFonts w:eastAsia="Calibri"/>
                <w:i/>
                <w:iCs/>
                <w:lang w:eastAsia="en-US"/>
              </w:rPr>
              <w:t xml:space="preserve"> участник в обязательном порядке должен предоставить справку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</w:t>
            </w:r>
            <w:r>
              <w:rPr>
                <w:rFonts w:eastAsia="Calibri"/>
                <w:i/>
                <w:iCs/>
                <w:lang w:eastAsia="en-US"/>
              </w:rPr>
              <w:t xml:space="preserve">го агента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</w:t>
            </w:r>
            <w:r>
              <w:rPr>
                <w:rFonts w:eastAsia="Calibri"/>
                <w:b/>
                <w:bCs/>
                <w:lang w:eastAsia="en-US"/>
              </w:rPr>
              <w:t xml:space="preserve">1160082</w:t>
            </w:r>
            <w:r>
              <w:rPr>
                <w:rFonts w:eastAsia="Calibri"/>
                <w:i/>
                <w:iCs/>
                <w:lang w:eastAsia="en-US"/>
              </w:rPr>
              <w:t xml:space="preserve">),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полученную не позднее чем за 60 (шестьдесят) дней до срока окончания подачи заявок</w:t>
            </w:r>
            <w:r>
              <w:rPr>
                <w:rFonts w:eastAsia="Calibri"/>
                <w:i/>
                <w:iCs/>
                <w:lang w:eastAsia="en-US"/>
              </w:rPr>
              <w:t xml:space="preserve">.</w:t>
            </w:r>
            <w:r>
              <w:rPr>
                <w:rFonts w:eastAsia="Calibri"/>
                <w:i/>
                <w:iCs/>
                <w:lang w:eastAsia="en-US"/>
              </w:rPr>
            </w:r>
            <w:r>
              <w:rPr>
                <w:rFonts w:eastAsia="Calibri"/>
                <w:i/>
                <w:iCs/>
                <w:lang w:eastAsia="en-US"/>
              </w:rPr>
            </w:r>
          </w:p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Вышеуказанные справки должны быть предоставлены одним из следующих форматов: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539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электронного документа, подписанного усиленной квалиф</w:t>
            </w:r>
            <w:r>
              <w:t xml:space="preserve">ицированной электронной подписью налогового органа в порядке, установленном законодательством РФ.  При этом участник прикладывает архив, содержащий саму справку и файл, содержащий сведения о подписи;</w:t>
            </w:r>
            <w:r/>
          </w:p>
          <w:p>
            <w:pPr>
              <w:pStyle w:val="1539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электронного документа, выгруженного через ЭДО с</w:t>
            </w:r>
            <w:r>
              <w:t xml:space="preserve"> нанесенными на него сведениями о цифровой подписи налогового органа и о цифровой подписи Участника;</w:t>
            </w:r>
            <w:r/>
          </w:p>
          <w:p>
            <w:pPr>
              <w:pStyle w:val="1539"/>
              <w:numPr>
                <w:ilvl w:val="0"/>
                <w:numId w:val="38"/>
              </w:numPr>
              <w:ind w:left="0" w:firstLine="349"/>
              <w:jc w:val="both"/>
            </w:pPr>
            <w:r>
              <w:t xml:space="preserve">в форме копии с круглой печатью соответствующего подразделения ФНС, выдавшего справку.</w:t>
            </w:r>
            <w:r/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</w:pPr>
            <w:r>
              <w:t xml:space="preserve">Документы, подтверждающие финансовую устойчивость участника закупки:</w:t>
            </w:r>
            <w:r/>
          </w:p>
          <w:p>
            <w:pPr>
              <w:pStyle w:val="1497"/>
              <w:numPr>
                <w:ilvl w:val="0"/>
                <w:numId w:val="39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обычной системы налогообложения</w:t>
            </w:r>
            <w:r>
              <w:t xml:space="preserve">:</w:t>
            </w:r>
            <w:r/>
          </w:p>
          <w:p>
            <w:pPr>
              <w:pStyle w:val="1497"/>
              <w:numPr>
                <w:ilvl w:val="0"/>
                <w:numId w:val="40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учете»;</w:t>
            </w:r>
            <w:r/>
          </w:p>
          <w:p>
            <w:pPr>
              <w:pStyle w:val="1497"/>
              <w:numPr>
                <w:ilvl w:val="0"/>
                <w:numId w:val="39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упрощенной сис</w:t>
            </w:r>
            <w:r>
              <w:rPr>
                <w:i/>
                <w:iCs/>
              </w:rPr>
              <w:t xml:space="preserve">темы налогообложения</w:t>
            </w:r>
            <w:r>
              <w:t xml:space="preserve">:</w:t>
            </w:r>
            <w:r/>
          </w:p>
          <w:p>
            <w:pPr>
              <w:pStyle w:val="1497"/>
              <w:numPr>
                <w:ilvl w:val="0"/>
                <w:numId w:val="41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год;</w:t>
            </w:r>
            <w:r/>
          </w:p>
          <w:p>
            <w:pPr>
              <w:pStyle w:val="1497"/>
              <w:numPr>
                <w:ilvl w:val="0"/>
                <w:numId w:val="41"/>
              </w:numPr>
              <w:ind w:left="0" w:firstLine="349"/>
              <w:tabs>
                <w:tab w:val="left" w:pos="383" w:leader="none"/>
              </w:tabs>
            </w:pPr>
            <w:r>
              <w:t xml:space="preserve">заявление о переходе на упрощенную систему налогообложения.</w:t>
            </w:r>
            <w:r/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rStyle w:val="1446"/>
                <w:color w:val="auto"/>
                <w:u w:val="none"/>
                <w:lang w:eastAsia="en-US"/>
              </w:rPr>
            </w:pPr>
            <w:r/>
            <w:hyperlink w:tooltip="#_ФОРМА_8._Декларация" w:anchor="_ФОРМА_Спра" w:history="1">
              <w:r>
                <w:rPr>
                  <w:rStyle w:val="1446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</w:t>
            </w:r>
            <w:r>
              <w:rPr>
                <w:lang w:eastAsia="en-US"/>
              </w:rPr>
              <w:t xml:space="preserve">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446"/>
                <w:color w:val="auto"/>
                <w:u w:val="none"/>
                <w:lang w:eastAsia="en-US"/>
              </w:rPr>
            </w:r>
            <w:r>
              <w:rPr>
                <w:rStyle w:val="1446"/>
                <w:color w:val="auto"/>
                <w:u w:val="none"/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правка_(информация)" w:anchor="_ФОРМА_Спра_1" w:history="1">
              <w:r>
                <w:rPr>
                  <w:rStyle w:val="1446"/>
                  <w:lang w:eastAsia="en-US"/>
                </w:rPr>
                <w:t xml:space="preserve">СПРАВКА (ИНФОРМАЦИЯ) О СОБСТВЕННИКАХ УЧАСТНИКА ЗАКУПКИ (ВКЛЮЧАЯ КОНЕЧНЫХ БЕНЕФИЦИА</w:t>
              </w:r>
              <w:r>
                <w:rPr>
                  <w:rStyle w:val="1446"/>
                  <w:lang w:eastAsia="en-US"/>
                </w:rPr>
                <w:t xml:space="preserve">РОВ)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rStyle w:val="1446"/>
                <w:color w:val="auto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огласие_на" w:anchor="_ФОРМА_Согл" w:history="1">
              <w:r>
                <w:rPr>
                  <w:rStyle w:val="1446"/>
                  <w:lang w:eastAsia="en-US"/>
                </w:rPr>
                <w:t xml:space="preserve">СОГЛАСИЕ НА ОБРАБОТКУ ПЕ</w:t>
              </w:r>
              <w:r>
                <w:rPr>
                  <w:rStyle w:val="1446"/>
                  <w:lang w:eastAsia="en-US"/>
                </w:rPr>
                <w:t xml:space="preserve">РСОНАЛЬНЫХ ДАННЫХ ОТ СОБСТВЕННИКОВ УЧАСТНИКА (ВКЛЮЧАЯ КОНЕЧНЫХ БЕНЕФИЦИАРОВ)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rStyle w:val="1446"/>
                <w:color w:val="auto"/>
                <w:u w:val="none"/>
                <w:lang w:eastAsia="en-US"/>
              </w:rPr>
            </w:pPr>
            <w:r/>
            <w:hyperlink w:tooltip="#_ФОРМА_Антикоррупционные_обязательст" w:anchor="_ФОРМА_Анти" w:history="1">
              <w:r>
                <w:rPr>
                  <w:rStyle w:val="1446"/>
                  <w:lang w:eastAsia="en-US"/>
                </w:rPr>
                <w:t xml:space="preserve">АНТИКОРРУПЦИОННЫЕ ОБЯЗАТЕЛЬСТВА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446"/>
                  <w:lang w:eastAsia="en-US"/>
                </w:rPr>
                <w:t xml:space="preserve">III «ОБРАЗЦЫ ФОРМ ДЛЯ ЗАПОЛНЕНИЯ УЧАСТНИКАМ</w:t>
              </w:r>
              <w:r>
                <w:rPr>
                  <w:rStyle w:val="1446"/>
                  <w:lang w:eastAsia="en-US"/>
                </w:rPr>
                <w:t xml:space="preserve">И ЗАКУПКИ»</w:t>
              </w:r>
            </w:hyperlink>
            <w:r>
              <w:rPr>
                <w:rStyle w:val="1446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446"/>
                <w:color w:val="auto"/>
                <w:u w:val="none"/>
                <w:lang w:eastAsia="en-US"/>
              </w:rPr>
            </w:r>
            <w:r>
              <w:rPr>
                <w:rStyle w:val="1446"/>
                <w:color w:val="auto"/>
                <w:u w:val="none"/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</w:t>
            </w:r>
            <w:r>
              <w:rPr>
                <w:lang w:eastAsia="en-US"/>
              </w:rPr>
              <w:t xml:space="preserve">анные в пункте </w:t>
            </w:r>
            <w:hyperlink w:tooltip="#_Документы,_подтверждающие_соответст" w:anchor="_Документы," w:history="1">
              <w:r>
                <w:rPr>
                  <w:rStyle w:val="1446"/>
                  <w:lang w:eastAsia="en-US"/>
                </w:rPr>
                <w:t xml:space="preserve">18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</w:t>
            </w:r>
            <w:r>
              <w:rPr>
                <w:lang w:eastAsia="en-US"/>
              </w:rPr>
              <w:t xml:space="preserve">к «Типовым требованиям к участникам закупок, критериям и порядку оценки  заявок участников закупок» Единого стандарта ПАО «Россети» указанные в пункте </w:t>
            </w:r>
            <w:hyperlink w:tooltip="#_Документы_и_сведения," w:anchor="_Документы_" w:history="1">
              <w:r>
                <w:rPr>
                  <w:rStyle w:val="1446"/>
                </w:rPr>
                <w:t xml:space="preserve">19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</w:t>
            </w:r>
            <w:r>
              <w:rPr>
                <w:lang w:eastAsia="en-US"/>
              </w:rPr>
              <w:t xml:space="preserve">окументы и сведения, необходимые для оценки заявки по неценовым критериям указанные в пункте </w:t>
            </w:r>
            <w:hyperlink w:tooltip="#_Документы_и_сведения,_1" w:anchor="_Документы__1" w:history="1">
              <w:r>
                <w:rPr>
                  <w:rStyle w:val="1446"/>
                  <w:lang w:eastAsia="en-US"/>
                </w:rPr>
                <w:t xml:space="preserve">20 части II «ИНФОРМАЦИОННАЯ КАРТА ЗАКУПКИ»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(непредставление указанных документов и сведений не явля</w:t>
            </w:r>
            <w:r>
              <w:rPr>
                <w:i/>
                <w:lang w:eastAsia="en-US"/>
              </w:rPr>
              <w:t xml:space="preserve">ется основанием для отклонения заявки)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3.4.5._В_с" w:history="1">
              <w:r>
                <w:rPr>
                  <w:rStyle w:val="1446"/>
                  <w:lang w:eastAsia="en-US"/>
                </w:rPr>
                <w:t xml:space="preserve">3.4.5</w:t>
              </w:r>
            </w:hyperlink>
            <w:r>
              <w:rPr>
                <w:lang w:eastAsia="en-US"/>
              </w:rPr>
              <w:t xml:space="preserve">, </w:t>
            </w:r>
            <w:hyperlink w:tooltip="#_В_случае,_если_1" w:anchor="_3.4.6._В_с" w:history="1">
              <w:r>
                <w:rPr>
                  <w:rStyle w:val="1446"/>
                  <w:lang w:eastAsia="en-US"/>
                </w:rPr>
                <w:t xml:space="preserve">3.4.6</w:t>
              </w:r>
            </w:hyperlink>
            <w:r>
              <w:rPr>
                <w:rStyle w:val="1446"/>
                <w:u w:val="none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настоящей документации о закупке;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bCs/>
                <w:i/>
                <w:lang w:eastAsia="en-US"/>
              </w:rPr>
              <w:t xml:space="preserve">(предоставля</w:t>
            </w:r>
            <w:r>
              <w:rPr>
                <w:bCs/>
                <w:i/>
                <w:lang w:eastAsia="en-US"/>
              </w:rPr>
              <w:t xml:space="preserve">ется в случае выбора Участником закупки обеспечения заявки в форме внесения денежных средств на счёт Заказчика)</w:t>
            </w:r>
            <w:r>
              <w:rPr>
                <w:bCs/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37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Независимая гарантия по обеспечению заявки на участие в закупке в соответствии с частью </w:t>
            </w:r>
            <w:hyperlink w:tooltip="#_Типовые_формы_независимых" w:anchor="_VII._ТИПОВ" w:history="1">
              <w:r>
                <w:rPr>
                  <w:rStyle w:val="1446"/>
                  <w:lang w:eastAsia="en-US"/>
                </w:rPr>
                <w:t xml:space="preserve">VII «ТИПОВЫЕ ФОРМЫ НЕЗАВИСИМЫХ ГАРАНТИЙ»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независимой гарантии)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144" w:name="_Документы,"/>
            <w:r>
              <w:rPr>
                <w:highlight w:val="none"/>
              </w:rPr>
            </w:r>
            <w:bookmarkStart w:id="145" w:name="_Соответствие_требованиям,_установле"/>
            <w:r>
              <w:rPr>
                <w:highlight w:val="none"/>
              </w:rPr>
            </w:r>
            <w:bookmarkEnd w:id="144"/>
            <w:r>
              <w:rPr>
                <w:highlight w:val="none"/>
              </w:rPr>
            </w:r>
            <w:bookmarkEnd w:id="145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а именно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none"/>
              </w:rPr>
            </w:pPr>
            <w:r>
              <w:rPr>
                <w:highlight w:val="none"/>
                <w:shd w:val="clear" w:color="ddebf6" w:themeColor="accent1" w:themeTint="33" w:fill="ddebf6" w:themeFill="accent1" w:themeFillTint="33"/>
                <w:lang w:eastAsia="en-US"/>
              </w:rPr>
              <w:t xml:space="preserve">Не требуются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6" w:name="_Документы_"/>
            <w:r/>
            <w:bookmarkStart w:id="147" w:name="_Документы_и_сведения,"/>
            <w:r/>
            <w:bookmarkEnd w:id="146"/>
            <w:r/>
            <w:bookmarkEnd w:id="14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Т</w:t>
            </w:r>
            <w:r>
              <w:rPr>
                <w:highlight w:val="white"/>
                <w:lang w:eastAsia="en-US"/>
              </w:rPr>
              <w:t xml:space="preserve">ребуются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97"/>
              <w:numPr>
                <w:ilvl w:val="0"/>
                <w:numId w:val="97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hyperlink w:tooltip="#_ФОРМА_Спра_2" w:anchor="_ФОРМА_Спра_2" w:history="1">
              <w:r>
                <w:rPr>
                  <w:rStyle w:val="1446"/>
                  <w:highlight w:val="white"/>
                </w:rPr>
                <w:t xml:space="preserve">СПРАВКА О ПЕРЕЧНЕ И ОБЪЕМАХ ИСПОЛНЕНИЯ АНАЛОГИЧНЫХ ДОГОВОРОВ ЗА 3 (ТРИ) ПОСЛЕДНИЕ ГОДА</w:t>
              </w:r>
            </w:hyperlink>
            <w:r>
              <w:rPr>
                <w:highlight w:val="white"/>
              </w:rPr>
              <w:t xml:space="preserve">, </w:t>
            </w:r>
            <w:r>
              <w:rPr>
                <w:highlight w:val="white"/>
                <w:lang w:eastAsia="en-US"/>
              </w:rPr>
              <w:t xml:space="preserve">по форме, установленной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446"/>
                  <w:highlight w:val="white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highlight w:val="white"/>
                <w:lang w:eastAsia="en-US"/>
              </w:rPr>
              <w:t xml:space="preserve">)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97"/>
              <w:numPr>
                <w:ilvl w:val="0"/>
                <w:numId w:val="97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97"/>
              <w:numPr>
                <w:ilvl w:val="0"/>
                <w:numId w:val="97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копия последней «Справки о ст</w:t>
            </w:r>
            <w:r>
              <w:rPr>
                <w:highlight w:val="white"/>
              </w:rPr>
              <w:t xml:space="preserve">оимости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color w:val="1f497d"/>
                <w:highlight w:val="white"/>
              </w:rPr>
            </w:pPr>
            <w:r>
              <w:rPr>
                <w:b/>
                <w:highlight w:val="white"/>
              </w:rPr>
              <w:t xml:space="preserve">или</w:t>
            </w:r>
            <w:r>
              <w:rPr>
                <w:b/>
                <w:color w:val="1f497d"/>
                <w:highlight w:val="white"/>
              </w:rPr>
            </w:r>
            <w:r>
              <w:rPr>
                <w:b/>
                <w:color w:val="1f497d"/>
                <w:highlight w:val="white"/>
              </w:rPr>
            </w:r>
          </w:p>
          <w:p>
            <w:pPr>
              <w:pStyle w:val="1555"/>
              <w:ind w:firstLine="1276"/>
              <w:jc w:val="both"/>
              <w:tabs>
                <w:tab w:val="left" w:pos="459" w:leader="none"/>
                <w:tab w:val="left" w:pos="1985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статьи 9 Федерального закона «О бухгалтерском учете» от 06.12.2011 № 402-ФЗ.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555"/>
              <w:ind w:left="720" w:firstLine="0"/>
              <w:jc w:val="both"/>
              <w:tabs>
                <w:tab w:val="left" w:pos="459" w:leader="none"/>
                <w:tab w:val="left" w:pos="1985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8" w:name="_Документы__1"/>
            <w:r/>
            <w:bookmarkStart w:id="149" w:name="_Документы_и_сведения,_1"/>
            <w:r/>
            <w:bookmarkEnd w:id="148"/>
            <w:r/>
            <w:bookmarkEnd w:id="14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97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Перечень документов, необходимых для оценки заявок указан в </w:t>
            </w:r>
            <w:hyperlink w:tooltip="#_Приложение_№_1" w:anchor="_Приложение_№_1" w:history="1">
              <w:r>
                <w:rPr>
                  <w:rStyle w:val="1446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0" w:name="_Размер_обеспечения_исполнения"/>
            <w:r/>
            <w:bookmarkStart w:id="151" w:name="Par67"/>
            <w:r/>
            <w:bookmarkEnd w:id="15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Размер обеспечения исполнения договора, срок и порядок его предоставления</w:t>
            </w:r>
            <w:bookmarkEnd w:id="151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Исполнение обязательств Подрядчика по исполнению работ по Договору обеспечивается одним из способов обеспечения: 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Независимой гарантией на исполнение обязательств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начальной (максимальной) цены Договора (цены лота), но не менее 5% от цены Договора;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Гарантийным депозитом в размере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10%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цены договора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(не применяется для МCП)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</w:r>
          </w:p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- Обеспечительным платежом в размере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highlight w:val="none"/>
                <w:shd w:val="clear" w:color="ddebf6" w:themeColor="accent1" w:themeTint="33" w:fill="ddebf6" w:themeFill="accent1" w:themeFillTint="33"/>
              </w:rPr>
              <w:t xml:space="preserve"> 3%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от начальной (максимальной) цены Договора (цены лота)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Срок предоставления обеспечения исполнения договора: в соответствии с требованиями, установленными в части </w:t>
            </w:r>
            <w:hyperlink w:tooltip="#_IV._ПРОЕКТ" w:anchor="_IV._ПРОЕКТ" w:history="1">
              <w:r>
                <w:rPr>
                  <w:rStyle w:val="1446"/>
                  <w:highlight w:val="none"/>
                </w:rPr>
                <w:t xml:space="preserve">IV «ПРОЕКТ ДОГОВОРА»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iCs/>
                <w:highlight w:val="none"/>
              </w:rPr>
              <w:t xml:space="preserve">Порядок внесения денежных средств и </w:t>
            </w:r>
            <w:r>
              <w:rPr>
                <w:highlight w:val="none"/>
              </w:rPr>
              <w:t xml:space="preserve">условия независимой гарантии установлены в разделе </w:t>
            </w:r>
            <w:hyperlink w:tooltip="#_Обеспечения_исполнения_договора," w:anchor="_ЗАКЛЮЧЕНИЕ,_ИЗМЕНЕНИЕ_И" w:history="1">
              <w:r>
                <w:rPr>
                  <w:rStyle w:val="1446"/>
                  <w:highlight w:val="none"/>
                </w:rPr>
                <w:t xml:space="preserve">6 части I «ОБЩИЕ УСЛОВИЯ ПРОВЕДЕНИЯ ЗАКУПКИ».</w:t>
              </w:r>
            </w:hyperlink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В случае принятия участником закупки решения о предоставлении обеспечения исполнения обязательств по договору в форме денежных средств, такие средства перечисляются на расчетный счет Заказчика, по реквизитам, указанным в части </w:t>
            </w:r>
            <w:hyperlink w:tooltip="#_ФОРМА_15._Справка" w:anchor="_IV._ПРОЕКТ" w:history="1">
              <w:r>
                <w:rPr>
                  <w:rStyle w:val="1446"/>
                  <w:highlight w:val="none"/>
                </w:rPr>
                <w:t xml:space="preserve">IV «ПРОЕКТ ДОГОВОРА»</w:t>
              </w:r>
            </w:hyperlink>
            <w:r>
              <w:rPr>
                <w:rStyle w:val="1446"/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" w:history="1">
              <w:r>
                <w:rPr>
                  <w:rStyle w:val="1446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2" w:name="_Право_зака"/>
            <w:r/>
            <w:bookmarkStart w:id="153" w:name="_Право_заказчика_заключить"/>
            <w:r/>
            <w:bookmarkEnd w:id="152"/>
            <w:r/>
            <w:bookmarkEnd w:id="15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539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22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1228"/>
        <w:jc w:val="right"/>
        <w:rPr>
          <w:rFonts w:ascii="Times New Roman" w:hAnsi="Times New Roman" w:cs="Times New Roman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28"/>
        <w:jc w:val="right"/>
        <w:rPr>
          <w:b w:val="0"/>
        </w:rPr>
      </w:pPr>
      <w:r/>
      <w:bookmarkStart w:id="154" w:name="_Приложение"/>
      <w:r/>
      <w:bookmarkStart w:id="155" w:name="_Приложение_№_1"/>
      <w:r/>
      <w:bookmarkEnd w:id="154"/>
      <w:r/>
      <w:bookmarkEnd w:id="155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pStyle w:val="1539"/>
        <w:numPr>
          <w:ilvl w:val="0"/>
          <w:numId w:val="7"/>
        </w:numPr>
        <w:contextualSpacing/>
        <w:ind w:left="0" w:right="-28" w:firstLine="567"/>
        <w:jc w:val="both"/>
        <w:keepLines/>
        <w:spacing w:before="120" w:after="120"/>
        <w:tabs>
          <w:tab w:val="left" w:pos="567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47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1701"/>
        <w:gridCol w:w="1779"/>
        <w:gridCol w:w="8079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513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pStyle w:val="1513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513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</w:t>
            </w:r>
            <w:r>
              <w:rPr>
                <w:rFonts w:ascii="Times New Roman" w:hAnsi="Times New Roman" w:cs="Times New Roman"/>
                <w:b/>
              </w:rPr>
              <w:t xml:space="preserve">начение критерия (V)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pStyle w:val="1513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выставляемый балл (без учета весового коэффициента)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8079" w:type="dxa"/>
            <w:vAlign w:val="center"/>
            <w:textDirection w:val="lrTb"/>
            <w:noWrap w:val="false"/>
          </w:tcPr>
          <w:p>
            <w:pPr>
              <w:pStyle w:val="1513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513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pStyle w:val="151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513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«Цена договора»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51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0 %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779" w:type="dxa"/>
            <w:vAlign w:val="center"/>
            <w:textDirection w:val="lrTb"/>
            <w:noWrap w:val="false"/>
          </w:tcPr>
          <w:p>
            <w:pPr>
              <w:pStyle w:val="1513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9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При оценке Заявок по критерию</w:t>
            </w:r>
            <w:r>
              <w:rPr>
                <w:b/>
              </w:rPr>
              <w:t xml:space="preserve"> «Цена договора»</w:t>
            </w:r>
            <w:r>
              <w:t xml:space="preserve"> лучшей признается Заявка с наименьшей </w:t>
            </w:r>
            <w:r>
              <w:rPr>
                <w:b/>
                <w:color w:val="000000" w:themeColor="text1"/>
              </w:rPr>
              <w:t xml:space="preserve">условной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ценой заявки.</w:t>
            </w:r>
            <w:r/>
          </w:p>
          <w:p>
            <w:pPr>
              <w:spacing w:after="0"/>
              <w:widowControl w:val="off"/>
            </w:pPr>
            <w:r>
              <w:t xml:space="preserve">Рейтинг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rPr>
                <w:vertAlign w:val="subscript"/>
              </w:rPr>
              <w:t xml:space="preserve"> </w:t>
            </w:r>
            <w:r>
              <w:t xml:space="preserve">определяется в баллах по следующей формуле: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eastAsia="Cambria Math" w:cs="Cambria Math"/>
                      </w:rPr>
                      <m:rPr/>
                      <m:t>ЦБ</m:t>
                    </m:r>
                  </m:e>
                  <m:sub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sub>
                </m:sSub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</w:rPr>
                          <m:rPr>
                            <m:sty m:val="p"/>
                          </m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eastAsia="Cambria Math" w:cs="Cambria Math"/>
                      </w:rPr>
                      <m:rPr/>
                      <m:t>Ц</m:t>
                    </m:r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den>
                </m:f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 w:eastAsia="Cambria Math" w:cs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jc w:val="left"/>
              <w:spacing w:after="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  <w:rPr>
                <w:i/>
              </w:rPr>
            </w:pPr>
            <w:r>
              <w:t xml:space="preserve">где: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widowControl w:val="off"/>
              <w:rPr>
                <w:highlight w:val="yellow"/>
              </w:rPr>
            </w:pPr>
            <w:r>
              <w:rPr>
                <w:b/>
                <w:bCs/>
              </w:rPr>
              <w:t xml:space="preserve">ЦБ</w:t>
            </w:r>
            <w:r>
              <w:rPr>
                <w:b/>
                <w:bCs/>
                <w:vertAlign w:val="subscript"/>
                <w:lang w:val="en-US"/>
              </w:rPr>
              <w:t xml:space="preserve">i</w:t>
            </w:r>
            <w:r>
              <w:t xml:space="preserve"> – оценка (рейтинг) i-й заявки по критерию «Цена договора»;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i</w:t>
            </w:r>
            <w:r>
              <w:rPr>
                <w:b/>
                <w:color w:val="000000" w:themeColor="text1"/>
              </w:rPr>
              <w:t xml:space="preserve"> – условная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цена </w:t>
            </w:r>
            <w:r>
              <w:rPr>
                <w:lang w:val="en-US"/>
              </w:rPr>
              <w:t xml:space="preserve">i</w:t>
            </w:r>
            <w:r>
              <w:t xml:space="preserve">-го Участника закупки, (предложение) которого оценивается.</w:t>
            </w:r>
            <w:r/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min</w:t>
            </w:r>
            <w:r>
              <w:t xml:space="preserve"> – минимальная </w:t>
            </w: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из предложений, сделанных участниками закупки, заявки которых признаны соответствующими установленным отборочным требованиям.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предл</w:t>
            </w:r>
            <w:r>
              <w:t xml:space="preserve">ожений рассчитывается исходя из условного объема (условная единица), указанного в Коммерческом предложении (Приложение № 5 к настоящей документации), умноженного на предложение о коэффициенте понижения цены.</w:t>
            </w:r>
            <w:r/>
          </w:p>
          <w:p>
            <w:pPr>
              <w:spacing w:after="0"/>
              <w:widowControl w:val="off"/>
            </w:pPr>
            <w:r>
              <w:t xml:space="preserve">Полученное значение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t xml:space="preserve"> является балльной оценко</w:t>
            </w:r>
            <w:r>
              <w:t xml:space="preserve">й по ценовому критерию и учитывается при расчете итогового рейтинга заявки участника, с учетом весового коэффициента.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pStyle w:val="1513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пункте </w:t>
            </w:r>
            <w:hyperlink w:tooltip="#_Сведения_о_начальной" w:anchor="_Сведения_о" w:history="1">
              <w:r>
                <w:rPr>
                  <w:rStyle w:val="144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7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включением в договор коэффициента тендерного снижения (предлагаемой скидки) от расчетов стоимости выполняемых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513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vMerge w:val="restart"/>
            <w:textDirection w:val="lrTb"/>
            <w:noWrap w:val="false"/>
          </w:tcPr>
          <w:p>
            <w:pPr>
              <w:pStyle w:val="1513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  <w:lang w:eastAsia="en-US"/>
              </w:rPr>
              <w:t xml:space="preserve">Критерий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</w:p>
          <w:p>
            <w:pPr>
              <w:pStyle w:val="1513"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  <w:t xml:space="preserve">«Опыт исполнения аналогичных договоров»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</w:p>
          <w:p>
            <w:pPr>
              <w:pStyle w:val="1513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151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30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779" w:type="dxa"/>
            <w:vAlign w:val="center"/>
            <w:vMerge w:val="restart"/>
            <w:textDirection w:val="lrTb"/>
            <w:noWrap w:val="false"/>
          </w:tcPr>
          <w:p>
            <w:pPr>
              <w:pStyle w:val="1513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079" w:type="dxa"/>
            <w:vMerge w:val="restart"/>
            <w:textDirection w:val="lrTb"/>
            <w:noWrap w:val="false"/>
          </w:tcPr>
          <w:p>
            <w:pPr>
              <w:ind w:left="13"/>
              <w:spacing w:before="14" w:after="14"/>
              <w:widowControl w:val="off"/>
            </w:pPr>
            <w:r>
              <w:t xml:space="preserve">Расчет рейтинга заявки по критерию «</w:t>
            </w:r>
            <w:r>
              <w:rPr>
                <w:b/>
              </w:rPr>
              <w:t xml:space="preserve">Опыт исполнения аналогичных договоров»</w:t>
            </w:r>
            <w:r>
              <w:t xml:space="preserve"> оценивается в баллах по формуле: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oi</m:t>
                    </m:r>
                  </m:sub>
                </m:sSub>
                <m:r>
                  <w:rPr>
                    <w:rFonts w:ascii="Cambria Math" w:hAnsi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m:rPr>
                            <m:nor m:val="on"/>
                          </m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где: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b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о</m:t>
                  </m:r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i</m:t>
                  </m:r>
                </m:sub>
              </m:sSub>
            </m:oMath>
            <w:r>
              <w:rPr>
                <w:b/>
                <w:bCs/>
              </w:rPr>
              <w:t xml:space="preserve"> </w:t>
            </w:r>
            <w:r>
              <w:t xml:space="preserve">– баллы, присуждаемые i-ой Заявке Участника по указанному критерию (без учета весового коэффициента);</w:t>
            </w:r>
            <w:r/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</w:rPr>
              <w:t xml:space="preserve">Оi</w:t>
            </w:r>
            <w:r>
              <w:t xml:space="preserve"> – опыт </w:t>
            </w:r>
            <w:r>
              <w:rPr>
                <w:highlight w:val="white"/>
              </w:rPr>
              <w:t xml:space="preserve">исполнения аналогичных договоров i-участником закупки (в ценовом выражении, без учета НДС). При этом, если величина опыта исполнения аналогичных договоров </w:t>
            </w:r>
            <w:r>
              <w:rPr>
                <w:highlight w:val="white"/>
                <w:lang w:val="en-US"/>
              </w:rPr>
              <w:t xml:space="preserve">i</w:t>
            </w:r>
            <w:r>
              <w:rPr>
                <w:highlight w:val="white"/>
              </w:rPr>
              <w:t xml:space="preserve">-участником закупки (в ценовом выражении) более чем в 10 (десять) раз превышает размер начальной (ма</w:t>
            </w:r>
            <w:r>
              <w:rPr>
                <w:highlight w:val="white"/>
              </w:rPr>
              <w:t xml:space="preserve">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46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то рейтинг заявки этого участника по данному критерию равен 100 баллам.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О</w:t>
            </w:r>
            <w:r>
              <w:rPr>
                <w:b/>
                <w:bCs/>
                <w:highlight w:val="white"/>
                <w:vertAlign w:val="subscript"/>
                <w:lang w:val="en-US"/>
              </w:rPr>
              <w:t xml:space="preserve">max</w:t>
            </w:r>
            <w:r>
              <w:rPr>
                <w:highlight w:val="white"/>
              </w:rPr>
              <w:t xml:space="preserve"> – максима</w:t>
            </w:r>
            <w:r>
              <w:rPr>
                <w:highlight w:val="white"/>
              </w:rPr>
              <w:t xml:space="preserve">льное значение опыта исполнения аналогичных договоров (в ценовом выражении, без учета НДС) среди участников закупки, заявки которых признаны соответствующими установленным отборочным требованиям. При этом, если наибольшая величина опыта исполнения аналогич</w:t>
            </w:r>
            <w:r>
              <w:rPr>
                <w:highlight w:val="white"/>
              </w:rPr>
              <w:t xml:space="preserve">ных договоров среди всех участников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46"/>
                </w:rPr>
                <w:t xml:space="preserve">7 час</w:t>
              </w:r>
              <w:r>
                <w:rPr>
                  <w:rStyle w:val="1446"/>
                </w:rPr>
                <w:t xml:space="preserve">ти II «ИНФОРМАЦИОННАЯ КАРТА ЗАКУПКИ»</w:t>
              </w:r>
            </w:hyperlink>
            <w:r>
              <w:rPr>
                <w:highlight w:val="white"/>
              </w:rPr>
              <w:t xml:space="preserve">, O</w:t>
            </w:r>
            <w:r>
              <w:rPr>
                <w:highlight w:val="white"/>
                <w:vertAlign w:val="subscript"/>
              </w:rPr>
              <w:t xml:space="preserve">max</w:t>
            </w:r>
            <w:r>
              <w:rPr>
                <w:highlight w:val="white"/>
              </w:rPr>
              <w:t xml:space="preserve"> принимается равным величине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446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 уве</w:t>
            </w:r>
            <w:r>
              <w:rPr>
                <w:highlight w:val="white"/>
              </w:rPr>
              <w:t xml:space="preserve">личенной в 10 (десять) раз.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pStyle w:val="1513"/>
              <w:ind w:left="13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Аналогичными договорами являются дог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оворы на: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r>
          </w:p>
          <w:p>
            <w:pPr>
              <w:pStyle w:val="1513"/>
              <w:ind w:left="13" w:firstLine="0"/>
              <w:jc w:val="both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  <w:r/>
          </w:p>
          <w:p>
            <w:pPr>
              <w:pStyle w:val="1513"/>
              <w:ind w:left="13" w:firstLine="0"/>
              <w:jc w:val="both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  <w:r/>
          </w:p>
          <w:p>
            <w:pPr>
              <w:pStyle w:val="1513"/>
              <w:ind w:left="13" w:firstLine="0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/>
                <w:color w:val="100cf2"/>
                <w:sz w:val="24"/>
                <w:szCs w:val="24"/>
                <w:highlight w:val="non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</w:t>
            </w:r>
            <w:r>
              <w:t xml:space="preserve">ной информационной системы в сфере закупок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предусмотрен</w:t>
            </w:r>
            <w:r>
              <w:t xml:space="preserve">а), либо в актах выполненных работ. </w:t>
            </w:r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</w:pPr>
            <w:r>
              <w:rPr>
                <w:b/>
                <w:bCs/>
              </w:rPr>
              <w:t xml:space="preserve">П</w:t>
            </w:r>
            <w:r>
              <w:rPr>
                <w:b/>
                <w:bCs/>
              </w:rPr>
              <w:t xml:space="preserve">одтверждающие документы</w:t>
            </w:r>
            <w:r>
              <w:t xml:space="preserve">:</w:t>
            </w:r>
            <w:r/>
          </w:p>
          <w:p>
            <w:pPr>
              <w:pStyle w:val="1497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Спра_7" w:anchor="_ФОРМА_СПРА_6" w:history="1">
              <w:r>
                <w:rPr>
                  <w:rStyle w:val="1446"/>
                  <w:lang w:eastAsia="en-US"/>
                </w:rPr>
                <w:t xml:space="preserve">СПРАВКА О ПЕРЕЧНЕ И ОБЪЕМАХ ВЫПОЛНЕНИЯ АНАЛОГИЧНЫХ ДОГОВОРОВ ЗА 3 (ТРИ) ПОСЛЕДНИХ ГОДА</w:t>
              </w:r>
            </w:hyperlink>
            <w:r>
              <w:t xml:space="preserve"> </w:t>
            </w:r>
            <w:r>
              <w:rPr>
                <w:rStyle w:val="1446"/>
                <w:color w:val="000000" w:themeColor="text1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t xml:space="preserve">часть </w:t>
            </w:r>
            <w:hyperlink w:tooltip="#_III._ОБРАЗ" w:anchor="_III._ОБРАЗ" w:history="1">
              <w:r>
                <w:rPr>
                  <w:rStyle w:val="1446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446"/>
                <w:color w:val="000000" w:themeColor="text1"/>
                <w:u w:val="none"/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97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приложения к таким договорам, все дополнительные соглашения к ним;</w:t>
            </w:r>
            <w:r/>
          </w:p>
          <w:p>
            <w:pPr>
              <w:pStyle w:val="1497"/>
              <w:numPr>
                <w:ilvl w:val="0"/>
                <w:numId w:val="52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сто</w:t>
            </w:r>
            <w:r>
              <w:t xml:space="preserve">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"/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 </w:t>
            </w:r>
            <w:r>
              <w:rPr>
                <w:b/>
                <w:color w:val="1f497d"/>
              </w:rPr>
            </w:r>
            <w:r>
              <w:rPr>
                <w:b/>
                <w:color w:val="1f497d"/>
              </w:rPr>
            </w:r>
          </w:p>
          <w:p>
            <w:pPr>
              <w:pStyle w:val="1497"/>
              <w:numPr>
                <w:ilvl w:val="0"/>
                <w:numId w:val="53"/>
              </w:numPr>
              <w:ind w:left="0" w:firstLine="992"/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</w:t>
            </w:r>
            <w:r>
              <w:t xml:space="preserve">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  <w:p>
            <w:pPr>
              <w:pStyle w:val="1513"/>
              <w:ind w:left="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3"/>
              <w:spacing w:after="0"/>
              <w:widowControl w:val="off"/>
            </w:pPr>
            <w: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</w:t>
            </w:r>
            <w:r>
              <w:t xml:space="preserve">ной участником информации, заявке такого участника, по данному критерию, присваивается </w:t>
            </w:r>
            <w:r>
              <w:rPr>
                <w:b/>
              </w:rPr>
              <w:t xml:space="preserve">0 баллов</w:t>
            </w:r>
            <w:r>
              <w:t xml:space="preserve">.</w:t>
            </w:r>
            <w:r/>
          </w:p>
        </w:tc>
      </w:tr>
    </w:tbl>
    <w:p>
      <w:pPr>
        <w:jc w:val="left"/>
        <w:spacing w:after="0"/>
      </w:pPr>
      <w:r/>
      <w:r/>
    </w:p>
    <w:p>
      <w:pPr>
        <w:pStyle w:val="1539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</w:t>
      </w:r>
      <w:r>
        <w:rPr>
          <w:rFonts w:eastAsia="Calibri"/>
          <w:lang w:eastAsia="en-US"/>
        </w:rPr>
        <w:t xml:space="preserve">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</w:t>
      </w:r>
      <w:r>
        <w:rPr>
          <w:rFonts w:eastAsia="Calibri"/>
          <w:lang w:eastAsia="en-US"/>
        </w:rPr>
        <w:t xml:space="preserve">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= (R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x 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o2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o2</w:t>
      </w:r>
      <w:r>
        <w:rPr>
          <w:rFonts w:eastAsia="Calibri"/>
          <w:lang w:val="en-US" w:eastAsia="en-US"/>
        </w:rPr>
        <w:t xml:space="preserve">) + … </w:t>
      </w:r>
      <w:r>
        <w:rPr>
          <w:rFonts w:eastAsia="Calibri"/>
          <w:lang w:eastAsia="en-US"/>
        </w:rPr>
        <w:t xml:space="preserve">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on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x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V</w:t>
      </w:r>
      <w:r>
        <w:rPr>
          <w:rFonts w:eastAsia="Calibri"/>
          <w:vertAlign w:val="subscript"/>
          <w:lang w:val="en-US" w:eastAsia="en-US"/>
        </w:rPr>
        <w:t xml:space="preserve">on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где: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Ri 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 </w:t>
      </w:r>
      <w:r>
        <w:rPr>
          <w:rFonts w:eastAsia="Calibri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1 </w:t>
      </w:r>
      <w:r>
        <w:rPr>
          <w:rFonts w:eastAsia="Calibri"/>
          <w:lang w:eastAsia="en-US"/>
        </w:rPr>
        <w:t xml:space="preserve">- оценка в баллах по неценовому критерию №1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2 </w:t>
      </w:r>
      <w:r>
        <w:rPr>
          <w:rFonts w:eastAsia="Calibri"/>
          <w:lang w:eastAsia="en-US"/>
        </w:rPr>
        <w:t xml:space="preserve">- оценка в баллах по неценовому критерию №2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…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on</w:t>
      </w:r>
      <w:r>
        <w:rPr>
          <w:rFonts w:eastAsia="Calibri"/>
          <w:iCs/>
          <w:vertAlign w:val="subscript"/>
          <w:lang w:eastAsia="en-US"/>
        </w:rPr>
        <w:t xml:space="preserve"> </w:t>
      </w:r>
      <w:r>
        <w:rPr>
          <w:rFonts w:eastAsia="Calibri"/>
          <w:lang w:eastAsia="en-US"/>
        </w:rPr>
        <w:t xml:space="preserve">- оценка в баллах по неценовому критерию №</w:t>
      </w:r>
      <w:r>
        <w:rPr>
          <w:rFonts w:eastAsia="Calibri"/>
          <w:lang w:val="en-US" w:eastAsia="en-US"/>
        </w:rPr>
        <w:t xml:space="preserve">n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bCs/>
          <w:i/>
          <w:lang w:eastAsia="en-US"/>
        </w:rPr>
      </w:pPr>
      <w:r>
        <w:rPr>
          <w:rFonts w:eastAsia="Arial Unicode MS"/>
        </w:rPr>
        <w:t xml:space="preserve">V</w:t>
      </w:r>
      <w:r>
        <w:rPr>
          <w:rFonts w:eastAsia="Arial Unicode MS"/>
          <w:lang w:val="en-US"/>
        </w:rPr>
        <w:t xml:space="preserve">s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1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2</w:t>
      </w:r>
      <w:r>
        <w:rPr>
          <w:rFonts w:eastAsia="Arial Unicode MS"/>
        </w:rPr>
        <w:t xml:space="preserve">, … V</w:t>
      </w:r>
      <w:r>
        <w:rPr>
          <w:rFonts w:eastAsia="Arial Unicode MS"/>
          <w:vertAlign w:val="subscript"/>
          <w:lang w:val="en-US"/>
        </w:rPr>
        <w:t xml:space="preserve">on</w:t>
      </w:r>
      <w:r>
        <w:rPr>
          <w:rFonts w:eastAsia="Arial Unicode MS"/>
        </w:rPr>
        <w:t xml:space="preserve"> – весовые коэффициенты соответствующих критериев</w:t>
      </w:r>
      <w:r>
        <w:rPr>
          <w:rFonts w:eastAsia="Calibri"/>
        </w:rPr>
        <w:t xml:space="preserve">.</w:t>
      </w:r>
      <w:r>
        <w:rPr>
          <w:rFonts w:eastAsia="Calibri"/>
          <w:bCs/>
          <w:i/>
          <w:lang w:eastAsia="en-US"/>
        </w:rPr>
      </w:r>
      <w:r>
        <w:rPr>
          <w:rFonts w:eastAsia="Calibri"/>
          <w:bCs/>
          <w:i/>
          <w:lang w:eastAsia="en-US"/>
        </w:rPr>
      </w:r>
    </w:p>
    <w:p>
      <w:pPr>
        <w:pStyle w:val="1539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9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Наивысшее место в итоговом рейтинге (ранжировке) с учетом весовых коэффициентов значимости получает Заявка, имеющая макси</w:t>
      </w:r>
      <w:r>
        <w:rPr>
          <w:rFonts w:eastAsia="Calibri"/>
          <w:lang w:eastAsia="en-US"/>
        </w:rPr>
        <w:t xml:space="preserve">мальный общий рейтинг предпочтительности Заявки (Ri).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9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</w:t>
      </w:r>
      <w:r>
        <w:rPr>
          <w:rFonts w:eastAsia="Calibri"/>
          <w:lang w:eastAsia="en-US"/>
        </w:rPr>
        <w:t xml:space="preserve">заявок по степени предпочтительности.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9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28"/>
        <w:ind w:left="0"/>
        <w:jc w:val="right"/>
      </w:pPr>
      <w:r/>
      <w:bookmarkStart w:id="156" w:name="_Приложение_1"/>
      <w:r/>
      <w:bookmarkStart w:id="157" w:name="_Приложение_№_2"/>
      <w:r/>
      <w:bookmarkEnd w:id="156"/>
      <w:r/>
      <w:bookmarkEnd w:id="157"/>
      <w:r>
        <w:rPr>
          <w:rFonts w:ascii="Times New Roman" w:hAnsi="Times New Roman" w:cs="Times New Roman"/>
        </w:rPr>
        <w:t xml:space="preserve">Приложение № 2 к ч</w:t>
      </w:r>
      <w:r>
        <w:rPr>
          <w:rFonts w:ascii="Times New Roman" w:hAnsi="Times New Roman" w:cs="Times New Roman"/>
        </w:rPr>
        <w:t xml:space="preserve">асти II «ИНФОРМАЦИОННАЯ КАРТА ЗАКУПКИ»</w:t>
      </w:r>
      <w:r>
        <w:t xml:space="preserve"> </w:t>
      </w:r>
      <w:r/>
    </w:p>
    <w:p>
      <w:pPr>
        <w:widowControl w:val="off"/>
      </w:pPr>
      <w:r/>
      <w:r/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446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закупке.</w:t>
      </w:r>
      <w:r/>
    </w:p>
    <w:p>
      <w:pPr>
        <w:pStyle w:val="1226"/>
        <w:numPr>
          <w:ilvl w:val="0"/>
          <w:numId w:val="4"/>
        </w:numPr>
        <w:ind w:left="0" w:firstLine="567"/>
        <w:pageBreakBefore/>
        <w:spacing w:before="0" w:after="0"/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56" w:name="_Toc46"/>
      <w:r/>
      <w:bookmarkStart w:id="158" w:name="_III._ОБРАЗ"/>
      <w:r/>
      <w:bookmarkStart w:id="159" w:name="_РАЗДЕЛ_I_4_ОБРАЗЦЫ_ФОРМ_И_ДОКУМЕНТО"/>
      <w:r/>
      <w:bookmarkStart w:id="160" w:name="_ОБРАЗЦЫ_ФОРМ_ДЛЯ"/>
      <w:r/>
      <w:bookmarkStart w:id="161" w:name="_Ref119427310"/>
      <w:r/>
      <w:bookmarkStart w:id="162" w:name="_Ref166101288"/>
      <w:r/>
      <w:bookmarkStart w:id="163" w:name="_Ref166101291"/>
      <w:r/>
      <w:bookmarkStart w:id="164" w:name="_Ref166158276"/>
      <w:r/>
      <w:bookmarkStart w:id="165" w:name="_Ref166158279"/>
      <w:r/>
      <w:bookmarkStart w:id="166" w:name="_Ref166329210"/>
      <w:r/>
      <w:bookmarkStart w:id="167" w:name="_Ref166329212"/>
      <w:r/>
      <w:bookmarkStart w:id="168" w:name="_Ref166329217"/>
      <w:r/>
      <w:bookmarkEnd w:id="158"/>
      <w:r/>
      <w:bookmarkEnd w:id="159"/>
      <w:r/>
      <w:bookmarkEnd w:id="160"/>
      <w:r>
        <w:rPr>
          <w:rStyle w:val="1397"/>
          <w:rFonts w:ascii="Times New Roman" w:hAnsi="Times New Roman" w:cs="Times New Roman"/>
          <w:color w:val="auto"/>
          <w:sz w:val="28"/>
          <w:szCs w:val="28"/>
        </w:rPr>
        <w:t xml:space="preserve">ОБРАЗЦЫ ФОРМ ДЛЯ ЗАПОЛНЕНИЯ УЧАСТНИКАМИ ЗАКУПКИ</w:t>
      </w:r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256"/>
      <w:r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pStyle w:val="1227"/>
        <w:ind w:left="0" w:firstLine="0"/>
        <w:tabs>
          <w:tab w:val="clear" w:pos="576" w:leader="none"/>
        </w:tabs>
        <w:rPr>
          <w:color w:val="000000" w:themeColor="text1"/>
          <w:sz w:val="24"/>
          <w:szCs w:val="24"/>
        </w:rPr>
      </w:pPr>
      <w:r/>
      <w:bookmarkStart w:id="257" w:name="_Toc47"/>
      <w:r>
        <w:rPr>
          <w:color w:val="000000" w:themeColor="text1"/>
          <w:sz w:val="24"/>
          <w:szCs w:val="24"/>
        </w:rPr>
        <w:t xml:space="preserve">ФОРМА ТЕХНИЧЕСКОЕ ПРЕДЛОЖЕНИЕ</w:t>
      </w:r>
      <w:bookmarkEnd w:id="257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r>
        <w:rPr>
          <w:b/>
        </w:rPr>
        <w:t xml:space="preserve"> 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t xml:space="preserve">Наименование закупки _______________________________________ Лот № _______</w:t>
      </w:r>
      <w:r/>
    </w:p>
    <w:p>
      <w:pPr>
        <w:ind w:firstLine="567"/>
        <w:spacing w:after="0"/>
      </w:pPr>
      <w:r>
        <w:t xml:space="preserve">Номер извещения о проведении закупки в ЕИС: _______________________________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rPr>
          <w:bCs/>
        </w:rPr>
        <w:t xml:space="preserve">Настоящим выражаем свое согласие на выполн</w:t>
      </w:r>
      <w:r>
        <w:rPr>
          <w:bCs/>
        </w:rPr>
        <w:t xml:space="preserve">ение работ в полном соответствии с документацией о закупке, в том числе в соответствии с требованиями разделов «ТЕХНИЧЕСКАЯ ЧАСТЬ» и «ПРОЕКТ ДОГОВОРА» документации о закупке.  </w:t>
      </w:r>
      <w:r/>
    </w:p>
    <w:p>
      <w:pPr>
        <w:ind w:firstLine="567"/>
        <w:spacing w:after="0"/>
      </w:pPr>
      <w:r/>
      <w:r/>
    </w:p>
    <w:p>
      <w:pPr>
        <w:ind w:firstLine="567"/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 в редактируемом формат</w:t>
      </w:r>
      <w:r>
        <w:rPr>
          <w:color w:val="0000cc"/>
        </w:rPr>
        <w:t xml:space="preserve">е на ____ л.</w:t>
      </w:r>
      <w:r>
        <w:rPr>
          <w:color w:val="0000cc"/>
        </w:rPr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rPr>
          <w:b/>
          <w:bCs/>
        </w:rPr>
      </w:pPr>
      <w:r>
        <w:rPr>
          <w:b/>
        </w:rPr>
        <w:t xml:space="preserve">Инструкции по заполнению:</w:t>
      </w:r>
      <w:r>
        <w:rPr>
          <w:b/>
          <w:bCs/>
        </w:rPr>
      </w:r>
      <w:r>
        <w:rPr>
          <w:b/>
          <w:bCs/>
        </w:rPr>
      </w:r>
    </w:p>
    <w:p>
      <w:pPr>
        <w:pStyle w:val="1539"/>
        <w:numPr>
          <w:ilvl w:val="0"/>
          <w:numId w:val="7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39"/>
        <w:numPr>
          <w:ilvl w:val="0"/>
          <w:numId w:val="7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39"/>
        <w:numPr>
          <w:ilvl w:val="0"/>
          <w:numId w:val="79"/>
        </w:numPr>
        <w:ind w:left="0" w:firstLine="709"/>
        <w:jc w:val="both"/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</w:t>
      </w:r>
      <w:r>
        <w:rPr>
          <w:bCs/>
        </w:rPr>
        <w:t xml:space="preserve">работ в полном соответствии с документацией о закупке, в том числе в соответствии с требованиями «ТЕХНИЧЕСКОЙ ЧАСТИ» и «ПРОЕКТА ДОГОВОРА» документации о закупке. В случае, если участник предлагает какие-либо изменения либо дополнения относительно требовани</w:t>
      </w:r>
      <w:r>
        <w:rPr>
          <w:bCs/>
        </w:rPr>
        <w:t xml:space="preserve">й, изложенных в «ТЕХНИЧЕСКОЙ ЧАСТИ» и «ПРОЕКТЕ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</w:t>
      </w:r>
      <w:r>
        <w:rPr>
          <w:bCs/>
        </w:rPr>
        <w:t xml:space="preserve"> в соответствии с документацией о закупке, в том числе в соответствии с требованиями «ТЕХНИЧЕСКОЙ ЧАСТИ» и «ПРОЕКТА ДОГОВОРА» документации о закупке с учетом следующих предложений: … 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</w:t>
      </w:r>
      <w:r>
        <w:t xml:space="preserve">.</w:t>
      </w:r>
      <w:r/>
    </w:p>
    <w:p>
      <w:pPr>
        <w:pStyle w:val="1539"/>
        <w:numPr>
          <w:ilvl w:val="0"/>
          <w:numId w:val="79"/>
        </w:numPr>
        <w:ind w:left="0" w:firstLine="709"/>
        <w:jc w:val="both"/>
      </w:pPr>
      <w:r>
        <w:t xml:space="preserve">Техническое предло</w:t>
      </w:r>
      <w:r>
        <w:t xml:space="preserve">жение на выполнение работ и поставок будет служить основой для подготовки соответствующего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</w:t>
      </w:r>
      <w:r>
        <w:t xml:space="preserve">товить так, чтобы ее можно было с минимальными изменениями включить в Договор.</w:t>
      </w:r>
      <w:r/>
    </w:p>
    <w:p>
      <w:pPr>
        <w:pStyle w:val="1539"/>
        <w:numPr>
          <w:ilvl w:val="0"/>
          <w:numId w:val="79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pStyle w:val="1539"/>
        <w:numPr>
          <w:ilvl w:val="0"/>
          <w:numId w:val="79"/>
        </w:numPr>
        <w:ind w:left="0" w:firstLine="709"/>
        <w:jc w:val="both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27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58" w:name="_Toc48"/>
      <w:r>
        <w:rPr>
          <w:sz w:val="24"/>
          <w:szCs w:val="24"/>
        </w:rPr>
        <w:t xml:space="preserve">ФОРМА ПИСЬМО О ПОДАЧЕ ОФЕРТЫ</w:t>
      </w:r>
      <w:bookmarkEnd w:id="2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</w:pPr>
      <w:r>
        <w:t xml:space="preserve"> (</w:t>
      </w:r>
      <w:r>
        <w:rPr>
          <w:i/>
        </w:rPr>
        <w:t xml:space="preserve">документ изготавливается на фирменном бл</w:t>
      </w:r>
      <w:r>
        <w:rPr>
          <w:i/>
        </w:rPr>
        <w:t xml:space="preserve">анке организации участника закупки (для участников юридических лиц</w:t>
      </w:r>
      <w:r>
        <w:t xml:space="preserve">)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202_ г.                                                                                  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</w:t>
      </w:r>
      <w:r>
        <w:rPr>
          <w:iCs/>
        </w:rPr>
        <w:t xml:space="preserve">ументацию о закупке 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Официальный сайт) от «___» __________ 202_ года (извещение №__________</w:t>
      </w:r>
      <w:r>
        <w:rPr>
          <w:iCs/>
        </w:rPr>
        <w:t xml:space="preserve">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условия о подсудности разрешения споров по договору, порядка заключения договора, заключаемого по ито</w:t>
      </w:r>
      <w:r>
        <w:rPr>
          <w:iCs/>
        </w:rPr>
        <w:t xml:space="preserve">гам закупки, мы, являясь участником процедуры закупки / [или]лидером коллективного участника [выбрать необходимое], предлагаем заключить Договор на: 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пунктом 3 част</w:t>
      </w:r>
      <w:r>
        <w:rPr>
          <w:bCs/>
          <w:i/>
        </w:rPr>
        <w:t xml:space="preserve">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bCs/>
          <w:spacing w:val="-6"/>
        </w:rPr>
        <w:t xml:space="preserve">.</w:t>
      </w:r>
      <w:r>
        <w:rPr>
          <w:iCs/>
        </w:rPr>
      </w:r>
      <w:r>
        <w:rPr>
          <w:iCs/>
        </w:rPr>
      </w:r>
    </w:p>
    <w:p>
      <w:pPr>
        <w:spacing w:after="0"/>
        <w:rPr>
          <w:bCs/>
          <w:i/>
          <w:spacing w:val="-6"/>
        </w:rPr>
      </w:pPr>
      <w:r>
        <w:rPr>
          <w:bCs/>
          <w:i/>
          <w:spacing w:val="-6"/>
        </w:rPr>
      </w:r>
      <w:r>
        <w:rPr>
          <w:bCs/>
          <w:i/>
          <w:spacing w:val="-6"/>
        </w:rPr>
      </w:r>
      <w:r>
        <w:rPr>
          <w:bCs/>
          <w:i/>
          <w:spacing w:val="-6"/>
        </w:rPr>
      </w:r>
    </w:p>
    <w:p>
      <w:pPr>
        <w:ind w:firstLine="567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90 (девяносто) календарных дней со дня, следующего за днем окончания подачи заявок.</w:t>
      </w:r>
      <w:r>
        <w:rPr>
          <w:b/>
        </w:rPr>
      </w:r>
      <w:r>
        <w:rPr>
          <w:b/>
        </w:rPr>
      </w:r>
    </w:p>
    <w:p>
      <w:pPr>
        <w:ind w:firstLine="567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567"/>
        <w:spacing w:after="0"/>
      </w:pPr>
      <w:r>
        <w:t xml:space="preserve">______________ (</w:t>
      </w:r>
      <w:r>
        <w:rPr>
          <w:i/>
        </w:rPr>
        <w:t xml:space="preserve">Наименование Участника закупки, при подаче заявки коллективным участни</w:t>
      </w:r>
      <w:r>
        <w:rPr>
          <w:i/>
        </w:rPr>
        <w:t xml:space="preserve">ком указывается Лидер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80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заключ</w:t>
      </w:r>
      <w:r>
        <w:t xml:space="preserve">ить Договор в установленном в документации о закупке порядке, в случае признания ____________________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Лидер и состав коллективного участника</w:t>
      </w:r>
      <w:r>
        <w:t xml:space="preserve">) Победителем, либо единствен</w:t>
      </w:r>
      <w:r>
        <w:t xml:space="preserve">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участвовать в вышеуказанной закупке на условиях, установленных документацией о закупке, регламентом ЭТП и Положением о закупке, а также выполнить работы на условиях про</w:t>
      </w:r>
      <w:r>
        <w:rPr>
          <w:iCs/>
        </w:rPr>
        <w:t xml:space="preserve">екта договора, представленного в составе документации о закупке, со всеми приложениями к нему.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 не проводится процедура ликвидации, отсутствует решен</w:t>
      </w:r>
      <w:r>
        <w:rPr>
          <w:iCs/>
        </w:rPr>
        <w:t xml:space="preserve">ие арбитражного суда о признании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приостановлена, а также, что размер задолженности по налогам, сборам и иным обязательным платежам в бюджеты </w:t>
      </w:r>
      <w:r>
        <w:t xml:space="preserve">бюджетной системы Российской </w:t>
      </w:r>
      <w:r>
        <w:t xml:space="preserve">Федерации</w:t>
      </w:r>
      <w:r>
        <w:rPr>
          <w:iCs/>
        </w:rPr>
        <w:t xml:space="preserve"> за прошедший календарный год не превышает 25% (двадцати пяти процентов) балансовой стоимости активов по данным бухгалтерской отчетности за последний завершенный отчетный период.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</w:t>
      </w:r>
      <w:r>
        <w:t xml:space="preserve">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ограничения или лишения дееспособности, неснятой или непогашенной судимости за преступления в сфере экономики, а также неприменение в отно</w:t>
      </w:r>
      <w:r>
        <w:t xml:space="preserve">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</w:t>
      </w:r>
      <w:r>
        <w:t xml:space="preserve">ьными требованиями к участникам закупки подтверждаем наличие у нас специальных допусков, разрешений, лицензий и прочих разрешительных документов в соответствии с законодательством для исполнения обязательств по предмету договора.</w:t>
      </w:r>
      <w:r/>
    </w:p>
    <w:p>
      <w:pPr>
        <w:ind w:firstLine="567"/>
        <w:spacing w:before="120" w:after="0"/>
      </w:pPr>
      <w:r>
        <w:t xml:space="preserve">В соответствии с дополните</w:t>
      </w:r>
      <w:r>
        <w:t xml:space="preserve">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в реестре недобросовестных поставщиков (подрядчиков, исполнителей), предусмотренном Федеральным законом от 18.0</w:t>
      </w:r>
      <w:r>
        <w:t xml:space="preserve">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недобросовестных поставщиков, предусмотренном Федеральным законом от 05.04.2013 N 44-ФЗ «О контрактной системе в сфере закупок товаров, работ, услуг для обеспе</w:t>
      </w:r>
      <w:r>
        <w:t xml:space="preserve">чения государственных и муниципальных нужд».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>
        <w:t xml:space="preserve">с единственным участником конкурентной закупки </w:t>
      </w:r>
      <w:r>
        <w:rPr>
          <w:iCs/>
        </w:rPr>
        <w:t xml:space="preserve">мы берем на себя обязательства подписать с</w:t>
      </w:r>
      <w:r>
        <w:rPr>
          <w:iCs/>
        </w:rPr>
        <w:t xml:space="preserve">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</w:t>
      </w:r>
      <w:r>
        <w:rPr>
          <w:iCs/>
        </w:rPr>
        <w:t xml:space="preserve">м, мы обязуемся подписать данный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</w:t>
      </w:r>
      <w:r>
        <w:t xml:space="preserve">заключением договора на условиях нашей заявки не требуется.</w:t>
      </w:r>
      <w:r>
        <w:rPr>
          <w:rStyle w:val="1429"/>
        </w:rPr>
        <w:footnoteReference w:id="18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</w:t>
      </w:r>
      <w:r>
        <w:t xml:space="preserve"> не требуется.</w:t>
      </w:r>
      <w:r>
        <w:rPr>
          <w:rStyle w:val="1429"/>
        </w:rPr>
        <w:footnoteReference w:id="19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документами, указаниями собственника,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</w:t>
      </w:r>
      <w:r>
        <w:rPr>
          <w:iCs/>
        </w:rPr>
        <w:t xml:space="preserve">ания) сделки и соблюдения всех требуемых корпоративных требований.</w:t>
      </w:r>
      <w:r>
        <w:rPr>
          <w:rStyle w:val="1429"/>
          <w:iCs/>
        </w:rPr>
        <w:footnoteReference w:id="20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достоверность представленной нами информации и подтверждаем право Организатора закупки (Заказчика), не противоречащее требованию о формировании равных для все</w:t>
      </w:r>
      <w:r>
        <w:t xml:space="preserve">х Участников закупки условий, запрашивать у нас, в уполномоченных органах власти и в упомянутых в нашей заявке юридических и физических лиц информацию, уточняющую представленные нами в ней сведения.</w:t>
      </w:r>
      <w:r>
        <w:rPr>
          <w:iCs/>
        </w:rPr>
      </w:r>
      <w:r>
        <w:rPr>
          <w:iCs/>
        </w:rPr>
      </w:r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firstLine="567"/>
        <w:jc w:val="left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1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9"/>
        <w:numPr>
          <w:ilvl w:val="0"/>
          <w:numId w:val="81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9"/>
        <w:numPr>
          <w:ilvl w:val="0"/>
          <w:numId w:val="81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539"/>
        <w:numPr>
          <w:ilvl w:val="0"/>
          <w:numId w:val="81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539"/>
        <w:numPr>
          <w:ilvl w:val="0"/>
          <w:numId w:val="81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</w:t>
      </w:r>
      <w:r>
        <w:rPr>
          <w:b/>
        </w:rPr>
        <w:t xml:space="preserve">редактируемом формате</w:t>
      </w:r>
      <w:r>
        <w:t xml:space="preserve">.</w:t>
      </w:r>
      <w:r>
        <w:rPr>
          <w:b/>
          <w:bCs/>
        </w:rPr>
        <w:br w:type="page" w:clear="all"/>
      </w:r>
      <w:r/>
    </w:p>
    <w:p>
      <w:pPr>
        <w:pStyle w:val="1227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59" w:name="_Toc49"/>
      <w:r>
        <w:rPr>
          <w:sz w:val="24"/>
          <w:szCs w:val="24"/>
        </w:rPr>
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</w:r>
      <w:bookmarkEnd w:id="25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</w:rPr>
        <w:t xml:space="preserve">План распределения объемов выполнения работ/оказания услуг между членами коллективного учас</w:t>
      </w:r>
      <w:r>
        <w:rPr>
          <w:b/>
        </w:rPr>
        <w:t xml:space="preserve">тника (консорциума, простого товарищества)</w:t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spacing w:after="0"/>
      </w:pPr>
      <w:r/>
      <w:r/>
    </w:p>
    <w:p>
      <w:pPr>
        <w:ind w:left="-142"/>
        <w:spacing w:after="0"/>
      </w:pPr>
      <w:r/>
      <w:r/>
    </w:p>
    <w:p>
      <w:pPr>
        <w:spacing w:after="0"/>
      </w:pPr>
      <w:r>
        <w:t xml:space="preserve">Наименование закупки __________________________________ Лот № _________________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 (Лидера коллективно</w:t>
      </w:r>
      <w:r>
        <w:t xml:space="preserve">го участника): _________________</w:t>
      </w:r>
      <w:r/>
    </w:p>
    <w:p>
      <w:pPr>
        <w:spacing w:after="0"/>
      </w:pPr>
      <w:r>
        <w:t xml:space="preserve">Юридический адрес участника закупки (Лидера коллективного участника): 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</w:t>
      </w:r>
      <w:r>
        <w:t xml:space="preserve">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(№2)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(№Х)</w:t>
      </w:r>
      <w:r>
        <w:t xml:space="preserve">: _______</w:t>
      </w:r>
      <w:r>
        <w:t xml:space="preserve">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5"/>
        <w:gridCol w:w="1760"/>
        <w:gridCol w:w="1985"/>
        <w:gridCol w:w="3402"/>
        <w:gridCol w:w="1556"/>
      </w:tblGrid>
      <w:tr>
        <w:tblPrEx/>
        <w:trPr>
          <w:trHeight w:val="1988"/>
        </w:trPr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выполняющий данный объем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работ и поставок в % от общей стоимости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52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выполнения (начало и окончание)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8"/>
              <w:numPr>
                <w:ilvl w:val="0"/>
                <w:numId w:val="82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8"/>
              <w:numPr>
                <w:ilvl w:val="0"/>
                <w:numId w:val="82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528"/>
              <w:ind w:left="0"/>
            </w:pPr>
            <w:r>
              <w:t xml:space="preserve">…</w:t>
            </w:r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Лидеру коллективного Участника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8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pStyle w:val="1528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528"/>
              <w:jc w:val="center"/>
              <w:rPr>
                <w:b/>
              </w:rPr>
            </w:pPr>
            <w:r>
              <w:rPr>
                <w:b/>
              </w:rPr>
              <w:t xml:space="preserve">100%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528"/>
              <w:jc w:val="center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ind w:right="4111"/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3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9"/>
        <w:numPr>
          <w:ilvl w:val="0"/>
          <w:numId w:val="83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9"/>
        <w:numPr>
          <w:ilvl w:val="0"/>
          <w:numId w:val="83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 Лидера коллективного участника.</w:t>
      </w:r>
      <w:r/>
    </w:p>
    <w:p>
      <w:pPr>
        <w:pStyle w:val="1539"/>
        <w:numPr>
          <w:ilvl w:val="0"/>
          <w:numId w:val="83"/>
        </w:numPr>
        <w:ind w:left="0" w:firstLine="709"/>
        <w:jc w:val="both"/>
      </w:pPr>
      <w:r>
        <w:t xml:space="preserve">У</w:t>
      </w:r>
      <w:r>
        <w:t xml:space="preserve">частник закупки приводит наименования юридических лиц и адреса мест нахождения, либо фамилии, имена, отчества, паспортные данные, адреса прописки (адреса регистрации) физических лиц, в том числе индивидуальных предпринимателей, членов коллективного участни</w:t>
      </w:r>
      <w:r>
        <w:t xml:space="preserve">ка.</w:t>
      </w:r>
      <w:r/>
    </w:p>
    <w:p>
      <w:pPr>
        <w:pStyle w:val="1539"/>
        <w:numPr>
          <w:ilvl w:val="0"/>
          <w:numId w:val="83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539"/>
        <w:numPr>
          <w:ilvl w:val="0"/>
          <w:numId w:val="83"/>
        </w:numPr>
        <w:ind w:left="0" w:firstLine="709"/>
        <w:jc w:val="both"/>
      </w:pPr>
      <w:r>
        <w:rPr>
          <w:b/>
        </w:rPr>
        <w:t xml:space="preserve">Данная форма заполняется и предоставляется в случае участия коллективных участников</w:t>
      </w:r>
      <w:r>
        <w:t xml:space="preserve">.</w:t>
      </w:r>
      <w:r/>
    </w:p>
    <w:p>
      <w:pPr>
        <w:pStyle w:val="1539"/>
        <w:ind w:left="42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227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260" w:name="_Toc50"/>
      <w:r>
        <w:rPr>
          <w:sz w:val="24"/>
          <w:szCs w:val="24"/>
        </w:rPr>
        <w:t xml:space="preserve">ФОРМА АНКЕТА УЧАСТНИКА ЗАКУПКИ</w:t>
      </w:r>
      <w:bookmarkEnd w:id="2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  <w:t xml:space="preserve">АНКЕТА УЧАСТНИКА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</w:t>
      </w:r>
      <w:r>
        <w:t xml:space="preserve">________________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37"/>
        <w:gridCol w:w="5869"/>
        <w:gridCol w:w="2968"/>
      </w:tblGrid>
      <w:tr>
        <w:tblPrEx/>
        <w:trPr>
          <w:cantSplit/>
          <w:trHeight w:val="240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№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Фирменное 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Организационно - правовая форма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6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Виды деятельно</w:t>
            </w:r>
            <w:r>
              <w:t xml:space="preserve">сти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ИНН 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КПП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среднесписочной численности (на последнюю отчетную дату)</w:t>
            </w:r>
            <w:r>
              <w:rPr>
                <w:vertAlign w:val="superscript"/>
              </w:rPr>
              <w:footnoteReference w:id="21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vertAlign w:val="superscript"/>
              </w:rPr>
              <w:footnoteReference w:id="22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vertAlign w:val="superscript"/>
              </w:rPr>
              <w:footnoteReference w:id="23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vertAlign w:val="superscript"/>
              </w:rPr>
              <w:footnoteReference w:id="24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Юридич</w:t>
            </w:r>
            <w:r>
              <w:t xml:space="preserve">еский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Почтовый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Фактическое местоположение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16.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Телефоны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Адрес электронной почты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t xml:space="preserve">Участн</w:t>
      </w:r>
      <w: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t xml:space="preserve">Форма составляется на фирменном </w:t>
      </w:r>
      <w:r>
        <w:t xml:space="preserve">бланке Участника закупки.</w:t>
      </w:r>
      <w:r/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t xml:space="preserve">Участник закупки должен заполнить приведенную выше первую таблицу по всем позициям. В случае отсутствия каких-либо данных указать слово «нет данных».</w:t>
      </w:r>
      <w:r/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t xml:space="preserve">В №п/п 21 «Банковские реквизиты…» указываются реквизиты, которые будут использов</w:t>
      </w:r>
      <w:r>
        <w:t xml:space="preserve">аны при заключении Договора.</w:t>
      </w:r>
      <w:r/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t xml:space="preserve">Графа 12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</w:t>
      </w:r>
      <w:r>
        <w:t xml:space="preserve">ости Российской Федерации» заполняется в соответствии с ниже приведенным </w:t>
      </w:r>
      <w:r>
        <w:rPr>
          <w:b/>
        </w:rPr>
        <w:t xml:space="preserve">Перечнем публичных должностных лиц</w:t>
      </w:r>
      <w:r>
        <w:t xml:space="preserve">.</w:t>
      </w:r>
      <w:r/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t xml:space="preserve">информация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pStyle w:val="1539"/>
        <w:numPr>
          <w:ilvl w:val="0"/>
          <w:numId w:val="84"/>
        </w:numPr>
        <w:ind w:left="0" w:firstLine="709"/>
        <w:jc w:val="both"/>
      </w:pPr>
      <w:r>
        <w:rPr>
          <w:b/>
        </w:rPr>
        <w:t xml:space="preserve">Участник закупки должен</w:t>
      </w:r>
      <w:r>
        <w:rPr>
          <w:b/>
        </w:rPr>
        <w:t xml:space="preserve"> приложить файл данной формы, выполненный в редактируемом формате</w:t>
      </w:r>
      <w:r>
        <w:t xml:space="preserve">.</w:t>
      </w:r>
      <w:r/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 xml:space="preserve">Приложение к Анкете Участника закупки</w: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jc w:val="center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Перечень публичных должностных лиц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Организациям и их работникам следует принимать во внимание, что к ним могут применяться нормы и санкции, установл</w:t>
      </w:r>
      <w:r>
        <w:rPr>
          <w:sz w:val="21"/>
          <w:szCs w:val="21"/>
        </w:rPr>
        <w:t xml:space="preserve">енные не только российским, но и зарубежным антикоррупционным законодательством, в соответствии с </w:t>
      </w:r>
      <w:hyperlink r:id="rId53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Конвенцией</w:t>
        </w:r>
      </w:hyperlink>
      <w:r>
        <w:rPr>
          <w:sz w:val="21"/>
          <w:szCs w:val="21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Российская Федерация ратифицировала </w:t>
      </w:r>
      <w:hyperlink r:id="rId54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Конвенцию</w:t>
        </w:r>
      </w:hyperlink>
      <w:r>
        <w:rPr>
          <w:sz w:val="21"/>
          <w:szCs w:val="21"/>
        </w:rPr>
        <w:t xml:space="preserve"> ООН против коррупции в 2006 году (8 марта 2006 года принят Федеральный </w:t>
      </w:r>
      <w:hyperlink r:id="rId55" w:tooltip="consultantplus://offline/ref=B7E04B8F5BC345C22463EADCAE81D93CF4CA1215A36F6052F6BC85F6f9C8L" w:history="1">
        <w:r>
          <w:rPr>
            <w:sz w:val="21"/>
            <w:szCs w:val="21"/>
          </w:rPr>
          <w:t xml:space="preserve">закон</w:t>
        </w:r>
      </w:hyperlink>
      <w:r>
        <w:rPr>
          <w:sz w:val="21"/>
          <w:szCs w:val="21"/>
        </w:rPr>
        <w:t xml:space="preserve"> № 40-ФЗ «О ратификации Конвенции Организации Объе</w:t>
      </w:r>
      <w:r>
        <w:rPr>
          <w:sz w:val="21"/>
          <w:szCs w:val="21"/>
        </w:rPr>
        <w:t xml:space="preserve">диненных Наций против коррупции»).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В соответствии со ст.12 Конвенции одной из мер по предупреждению коррупции является в том числе предупреждение возникновения конфликта интересов посредством установления ограничений на трудоустройство для бывших публичных</w:t>
      </w:r>
      <w:r>
        <w:rPr>
          <w:rFonts w:eastAsia="Calibri"/>
          <w:sz w:val="21"/>
          <w:szCs w:val="21"/>
          <w:lang w:eastAsia="en-US"/>
        </w:rPr>
        <w:t xml:space="preserve"> должностных лиц.</w:t>
      </w:r>
      <w:r>
        <w:rPr>
          <w:rFonts w:eastAsia="Calibri"/>
          <w:sz w:val="21"/>
          <w:szCs w:val="21"/>
          <w:lang w:eastAsia="en-US"/>
        </w:rPr>
      </w:r>
      <w:r>
        <w:rPr>
          <w:rFonts w:eastAsia="Calibri"/>
          <w:sz w:val="21"/>
          <w:szCs w:val="21"/>
          <w:lang w:eastAsia="en-US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1. ПУБЛИЧНОЕ ДОЛЖНОСТНОЕ ЛИЦО (ПДЛ)</w:t>
      </w:r>
      <w:r>
        <w:rPr>
          <w:sz w:val="21"/>
          <w:szCs w:val="21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</w:t>
      </w:r>
      <w:r>
        <w:rPr>
          <w:sz w:val="21"/>
          <w:szCs w:val="21"/>
        </w:rPr>
        <w:t xml:space="preserve">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</w:t>
      </w:r>
      <w:r>
        <w:rPr>
          <w:sz w:val="21"/>
          <w:szCs w:val="21"/>
        </w:rPr>
        <w:t xml:space="preserve">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</w:t>
      </w:r>
      <w:r>
        <w:rPr>
          <w:sz w:val="21"/>
          <w:szCs w:val="21"/>
        </w:rPr>
        <w:t xml:space="preserve"> основании федеральных законов, включенные в перечни должностей, определяемые Президентом Российской Федерации.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2.</w:t>
      </w: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ИНОСТРАННОЕ ПУБЛИЧНОЕ ДОЛЖНОСТНОЕ ЛИЦО (ИПДЛ)</w:t>
      </w:r>
      <w:r>
        <w:rPr>
          <w:sz w:val="21"/>
          <w:szCs w:val="21"/>
        </w:rPr>
        <w:t xml:space="preserve"> – физическое лицо, вне зависимости от его гражданства, на которого возложено или было возложен</w:t>
      </w:r>
      <w:r>
        <w:rPr>
          <w:sz w:val="21"/>
          <w:szCs w:val="21"/>
        </w:rPr>
        <w:t xml:space="preserve">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рекомендациями международных организаций и з</w:t>
      </w:r>
      <w:r>
        <w:rPr>
          <w:sz w:val="21"/>
          <w:szCs w:val="21"/>
        </w:rPr>
        <w:t xml:space="preserve">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</w:t>
      </w:r>
      <w:r>
        <w:rPr>
          <w:sz w:val="21"/>
          <w:szCs w:val="21"/>
        </w:rPr>
        <w:t xml:space="preserve">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</w:t>
      </w:r>
      <w:r>
        <w:rPr>
          <w:sz w:val="21"/>
          <w:szCs w:val="21"/>
        </w:rPr>
        <w:t xml:space="preserve">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</w:t>
      </w:r>
      <w:r>
        <w:rPr>
          <w:sz w:val="21"/>
          <w:szCs w:val="21"/>
        </w:rPr>
        <w:t xml:space="preserve">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</w:t>
      </w:r>
      <w:r>
        <w:rPr>
          <w:sz w:val="21"/>
          <w:szCs w:val="21"/>
        </w:rPr>
        <w:t xml:space="preserve">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</w:t>
      </w:r>
      <w:r>
        <w:rPr>
          <w:sz w:val="21"/>
          <w:szCs w:val="21"/>
        </w:rPr>
        <w:t xml:space="preserve">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3. РОССИЙСКИЕ ПУБЛИЧНЫЕ ДОЛЖНОСТНЫЕ ЛИЦА (РПДЛ)</w:t>
      </w:r>
      <w:r>
        <w:rPr>
          <w:sz w:val="21"/>
          <w:szCs w:val="21"/>
        </w:rPr>
        <w:t xml:space="preserve"> – физические лица, находящиеся или принимаемые на обслуживани</w:t>
      </w:r>
      <w:r>
        <w:rPr>
          <w:sz w:val="21"/>
          <w:szCs w:val="21"/>
        </w:rPr>
        <w:t xml:space="preserve">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</w:t>
      </w:r>
      <w:r>
        <w:rPr>
          <w:sz w:val="21"/>
          <w:szCs w:val="21"/>
        </w:rPr>
        <w:t xml:space="preserve">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Указом Президента Российской Федераци</w:t>
      </w:r>
      <w:r>
        <w:rPr>
          <w:sz w:val="21"/>
          <w:szCs w:val="21"/>
        </w:rPr>
        <w:t xml:space="preserve">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</w:t>
      </w:r>
      <w:r>
        <w:rPr>
          <w:sz w:val="21"/>
          <w:szCs w:val="21"/>
        </w:rPr>
        <w:t xml:space="preserve">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</w:t>
      </w:r>
      <w:r>
        <w:rPr>
          <w:sz w:val="21"/>
          <w:szCs w:val="21"/>
        </w:rPr>
        <w:t xml:space="preserve">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</w:t>
      </w:r>
      <w:r>
        <w:rPr>
          <w:sz w:val="21"/>
          <w:szCs w:val="21"/>
        </w:rPr>
        <w:t xml:space="preserve">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</w:t>
      </w:r>
      <w:r>
        <w:rPr>
          <w:sz w:val="21"/>
          <w:szCs w:val="21"/>
        </w:rPr>
        <w:t xml:space="preserve">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</w:t>
      </w:r>
      <w:r>
        <w:rPr>
          <w:sz w:val="21"/>
          <w:szCs w:val="21"/>
        </w:rPr>
        <w:t xml:space="preserve">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</w:t>
      </w:r>
      <w:r>
        <w:rPr>
          <w:sz w:val="21"/>
          <w:szCs w:val="21"/>
        </w:rPr>
        <w:t xml:space="preserve">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</w:t>
      </w:r>
      <w:r>
        <w:rPr>
          <w:sz w:val="21"/>
          <w:szCs w:val="21"/>
        </w:rPr>
        <w:t xml:space="preserve">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</w:t>
      </w:r>
      <w:r>
        <w:rPr>
          <w:sz w:val="21"/>
          <w:szCs w:val="21"/>
        </w:rPr>
        <w:t xml:space="preserve">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</w:t>
      </w:r>
      <w:r>
        <w:rPr>
          <w:sz w:val="21"/>
          <w:szCs w:val="21"/>
        </w:rPr>
        <w:t xml:space="preserve">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</w:t>
      </w:r>
      <w:r>
        <w:rPr>
          <w:sz w:val="21"/>
          <w:szCs w:val="21"/>
        </w:rPr>
        <w:t xml:space="preserve">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</w:t>
      </w:r>
      <w:r>
        <w:rPr>
          <w:sz w:val="21"/>
          <w:szCs w:val="21"/>
        </w:rPr>
        <w:t xml:space="preserve">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4. МЕЖДУНАРОДНОЕ ПУБЛИЧНОЕ ДОЛЖНОСТНОЕ ЛИЦО (МПДЛ</w:t>
      </w:r>
      <w:r>
        <w:rPr>
          <w:sz w:val="21"/>
          <w:szCs w:val="21"/>
        </w:rPr>
        <w:t xml:space="preserve">) - международный гражданский служащий или любое лицо, котор</w:t>
      </w:r>
      <w:r>
        <w:rPr>
          <w:sz w:val="21"/>
          <w:szCs w:val="21"/>
        </w:rPr>
        <w:t xml:space="preserve">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5. ЛИЦО, СВЯЗАННОЕ С ПДЛ</w:t>
      </w:r>
      <w:r>
        <w:rPr>
          <w:sz w:val="21"/>
          <w:szCs w:val="21"/>
        </w:rPr>
        <w:t xml:space="preserve"> – супруг или супруга ПДЛ, его близкий родственник (родственник по прямой во</w:t>
      </w:r>
      <w:r>
        <w:rPr>
          <w:sz w:val="21"/>
          <w:szCs w:val="21"/>
        </w:rPr>
        <w:t xml:space="preserve">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</w:t>
      </w:r>
      <w:r>
        <w:rPr>
          <w:sz w:val="21"/>
          <w:szCs w:val="21"/>
        </w:rPr>
        <w:t xml:space="preserve"> значительную материальную выгоду ввиду отношений с ПДЛ.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6. МЕЖДУНАРОДНЫЕ ОРГАНИЗАЦИИ</w:t>
      </w:r>
      <w:r>
        <w:rPr>
          <w:sz w:val="21"/>
          <w:szCs w:val="21"/>
        </w:rPr>
        <w:t xml:space="preserve"> – организации, созданные официальными политическими соглашениями между их странами - членами, которые имеют статус международных договоров; их существование признается з</w:t>
      </w:r>
      <w:r>
        <w:rPr>
          <w:sz w:val="21"/>
          <w:szCs w:val="21"/>
        </w:rPr>
        <w:t xml:space="preserve">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</w:t>
      </w:r>
      <w:r>
        <w:rPr>
          <w:sz w:val="21"/>
          <w:szCs w:val="21"/>
        </w:rPr>
        <w:t xml:space="preserve">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</w:t>
      </w:r>
      <w:r>
        <w:rPr>
          <w:sz w:val="21"/>
          <w:szCs w:val="21"/>
        </w:rPr>
        <w:t xml:space="preserve"> экономические организации, такие как Всемирная торговая организация или АСЕАН, и т.д.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40"/>
        <w:tabs>
          <w:tab w:val="left" w:pos="1080" w:leader="none"/>
        </w:tabs>
        <w:rPr>
          <w:b/>
          <w:bCs/>
        </w:rPr>
        <w:sectPr>
          <w:footnotePr/>
          <w:endnotePr/>
          <w:type w:val="nextPage"/>
          <w:pgSz w:w="11909" w:h="16834" w:orient="portrait"/>
          <w:pgMar w:top="1134" w:right="850" w:bottom="1134" w:left="1701" w:header="709" w:footer="709" w:gutter="0"/>
          <w:cols w:num="1" w:sep="0" w:space="6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27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1" w:name="_Toc51"/>
      <w:r>
        <w:rPr>
          <w:sz w:val="24"/>
          <w:szCs w:val="24"/>
        </w:rPr>
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bookmarkEnd w:id="26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0"/>
      </w:pPr>
      <w:r>
        <w:rPr>
          <w:b/>
        </w:rPr>
        <w:t xml:space="preserve">Справка о на</w:t>
      </w:r>
      <w:r>
        <w:rPr>
          <w:b/>
        </w:rPr>
        <w:t xml:space="preserve">личии конфликта интересов и/или связей, носящих характер аффилированности с сотрудниками Заказчика или Организатора закупки</w:t>
      </w:r>
      <w:r/>
    </w:p>
    <w:p>
      <w:pPr>
        <w:jc w:val="center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</w:t>
      </w:r>
      <w:r>
        <w:t xml:space="preserve">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>
        <w:t xml:space="preserve">Уважаемые господа!</w:t>
      </w:r>
      <w:r/>
    </w:p>
    <w:p>
      <w:pPr>
        <w:ind w:firstLine="567"/>
      </w:pPr>
      <w:r>
        <w:rPr>
          <w:bCs/>
        </w:rPr>
        <w:t xml:space="preserve">При рассмотрении нашей заявки просим учесть </w:t>
      </w:r>
      <w:r>
        <w:rPr>
          <w:bCs/>
        </w:rPr>
        <w:t xml:space="preserve">следующие сведения о наличии у _______________________________________ </w:t>
      </w:r>
      <w:r>
        <w:rPr>
          <w:b/>
          <w:bCs/>
          <w:i/>
        </w:rPr>
        <w:t xml:space="preserve">(указывается полное наименование Участника закупки)</w:t>
      </w:r>
      <w:r>
        <w:rPr>
          <w:bCs/>
          <w:i/>
        </w:rPr>
        <w:t xml:space="preserve"> </w:t>
      </w:r>
      <w:r>
        <w:rPr>
          <w:bCs/>
        </w:rPr>
        <w:t xml:space="preserve">конфликта интересов и/или связей, </w:t>
      </w:r>
      <w:r>
        <w:rPr>
          <w:b/>
          <w:bCs/>
          <w:i/>
        </w:rPr>
        <w:t xml:space="preserve">носящих характер аффилированности с лицом, являющимся ______________________</w:t>
      </w:r>
      <w:r>
        <w:rPr>
          <w:i/>
          <w:iCs/>
        </w:rPr>
        <w:t xml:space="preserve"> (</w:t>
      </w:r>
      <w:r>
        <w:rPr>
          <w:b/>
          <w:i/>
          <w:iCs/>
        </w:rPr>
        <w:t xml:space="preserve">указывается кем являю</w:t>
      </w:r>
      <w:r>
        <w:rPr>
          <w:b/>
          <w:i/>
          <w:iCs/>
        </w:rPr>
        <w:t xml:space="preserve">тся эти лица, пример: учредители, сотрудники, и т.д.</w:t>
      </w:r>
      <w:r>
        <w:rPr>
          <w:b/>
          <w:bCs/>
          <w:i/>
        </w:rPr>
        <w:t xml:space="preserve">) </w:t>
      </w:r>
      <w:r>
        <w:rPr>
          <w:bCs/>
        </w:rPr>
        <w:t xml:space="preserve">Заказчика </w:t>
      </w:r>
      <w:r>
        <w:rPr>
          <w:b/>
          <w:bCs/>
          <w:i/>
        </w:rPr>
        <w:t xml:space="preserve">и/или Организатора закупки</w:t>
      </w:r>
      <w:r>
        <w:rPr>
          <w:bCs/>
        </w:rPr>
        <w:t xml:space="preserve">, а именно - </w:t>
      </w:r>
      <w:r>
        <w:rPr>
          <w:b/>
          <w:bCs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</w:t>
      </w:r>
      <w:r>
        <w:rPr>
          <w:b/>
          <w:bCs/>
          <w:i/>
        </w:rPr>
        <w:t xml:space="preserve">онфликт интересов и/или аффилированность)</w:t>
      </w:r>
      <w:r>
        <w:rPr>
          <w:bCs/>
        </w:rPr>
        <w:t xml:space="preserve">.</w:t>
      </w:r>
      <w:r/>
    </w:p>
    <w:p>
      <w:pPr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24"/>
        <w:spacing w:after="0"/>
        <w:tabs>
          <w:tab w:val="left" w:pos="48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85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Форма составляется на фирменном бланке Участника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Участник закупки должен заполнить приведенное выше информационное п</w:t>
      </w:r>
      <w:r>
        <w:t xml:space="preserve">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просим учесть, что у {указывается наименование Уча</w:t>
      </w:r>
      <w:r>
        <w:t xml:space="preserve">стника закупки} НЕТ связей, которые могут быть признаны носящими характер аффилированности с лицами так или иначе связанными с Заказчиком или Организатором закупки.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t xml:space="preserve">При наличии документов, подтверждающих или указывающих на факты возможного возникновения ко</w:t>
      </w:r>
      <w:r>
        <w:t xml:space="preserve">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numPr>
          <w:ilvl w:val="0"/>
          <w:numId w:val="85"/>
        </w:numPr>
        <w:ind w:left="0" w:firstLine="709"/>
        <w:spacing w:after="0"/>
      </w:pPr>
      <w:r>
        <w:rPr>
          <w:b/>
        </w:rPr>
        <w:t xml:space="preserve">Участник закупки должен приложить файл данной формы, выполненный в редактируемом фор</w:t>
      </w:r>
      <w:r>
        <w:rPr>
          <w:b/>
        </w:rPr>
        <w:t xml:space="preserve">мате</w:t>
      </w:r>
      <w:r>
        <w:t xml:space="preserve">.</w:t>
      </w:r>
      <w:r/>
    </w:p>
    <w:p>
      <w:pPr>
        <w:numPr>
          <w:ilvl w:val="0"/>
          <w:numId w:val="85"/>
        </w:numPr>
        <w:ind w:left="0" w:firstLine="709"/>
        <w:spacing w:after="0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227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2" w:name="_Toc52"/>
      <w:r>
        <w:rPr>
          <w:sz w:val="24"/>
          <w:szCs w:val="24"/>
        </w:rPr>
        <w:t xml:space="preserve">ФОРМА СПРАВКА (ИНФОРМАЦИЯ) О СОБСТВЕННИКАХ УЧАСТНИКА ЗАКУПКИ (ВКЛЮЧАЯ КОНЕЧНЫХ БЕНЕФИЦИАРОВ)</w:t>
      </w:r>
      <w:bookmarkEnd w:id="2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бенефициаров)*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</w:t>
      </w:r>
      <w:r>
        <w:t xml:space="preserve">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</w:pPr>
      <w:r>
        <w:t xml:space="preserve">Юридический адрес (место нахождения) участника закупки: ________</w:t>
      </w:r>
      <w:r>
        <w:t xml:space="preserve">__________________</w:t>
      </w:r>
      <w:r/>
    </w:p>
    <w:p>
      <w:pPr>
        <w:spacing w:after="0"/>
      </w:pPr>
      <w:r/>
      <w:r/>
    </w:p>
    <w:tbl>
      <w:tblPr>
        <w:tblW w:w="15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73"/>
        <w:gridCol w:w="567"/>
        <w:gridCol w:w="1134"/>
        <w:gridCol w:w="850"/>
        <w:gridCol w:w="1134"/>
        <w:gridCol w:w="1418"/>
        <w:gridCol w:w="567"/>
        <w:gridCol w:w="567"/>
        <w:gridCol w:w="708"/>
        <w:gridCol w:w="1134"/>
        <w:gridCol w:w="987"/>
        <w:gridCol w:w="1418"/>
        <w:gridCol w:w="1134"/>
        <w:gridCol w:w="1276"/>
        <w:gridCol w:w="1275"/>
      </w:tblGrid>
      <w:tr>
        <w:tblPrEx/>
        <w:trPr>
          <w:jc w:val="center"/>
          <w:trHeight w:val="86"/>
        </w:trPr>
        <w:tc>
          <w:tcPr>
            <w:shd w:val="clear" w:color="000000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56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4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ind w:left="-113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</w:t>
            </w:r>
            <w:r>
              <w:rPr>
                <w:b/>
                <w:color w:val="000000"/>
                <w:sz w:val="16"/>
                <w:szCs w:val="16"/>
              </w:rPr>
              <w:t xml:space="preserve">.3.2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color w:val="000000"/>
                <w:sz w:val="16"/>
                <w:szCs w:val="16"/>
              </w:rPr>
              <w:t xml:space="preserve">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Данные инструкции не следует воспроизводить в документах, подготовленных Участником закупки.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наименования юридического лица и адреса места нахождения, либо фамилию, и</w:t>
      </w:r>
      <w:r>
        <w:t xml:space="preserve">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В случае, если одним или несколькими участниками / учредителями / акционерами контрагента являются юридические лица, то в зав</w:t>
      </w:r>
      <w:r>
        <w:t xml:space="preserve">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* В отношении</w:t>
      </w:r>
      <w:r>
        <w:t xml:space="preserve">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</w:t>
      </w:r>
      <w:r>
        <w:t xml:space="preserve">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</w:t>
      </w:r>
      <w:r>
        <w:t xml:space="preserve"> информации о количестве таких акционеров.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Разделы «ИНН» (№2) и «ОГРН» (№3) - указываются регистрационные данные Участника.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Разделы «ИНН» (№9) и «ОГРН» (№10) - указываются регистрационные данные собственников Участника.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«Наименование краткое» (№4) -</w:t>
      </w:r>
      <w:r>
        <w:t xml:space="preserve">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</w:t>
      </w:r>
      <w:r>
        <w:t xml:space="preserve">ел «Код ОКВЭД» (№5) - указывается код (основные коды) ОКВЭД.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«ФИО руководителя» (№6) - фамилия, отчество и имя указываются полностью.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руководителя» (№7) - паспортные данные указываются в форм</w:t>
      </w:r>
      <w:r>
        <w:t xml:space="preserve">ате: ХХХХХХХХХХ (10 знаков), то есть без слов «серия», «номер» и т.п.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** Раздел «№» (№8) – заполняется в следующем формате: 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1.1, 1.2. и т.д. – собственники участника (собственники первого уровня)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1.1.1, 1.1.2, 1.1.3 – собственники организации 1.1 (собственники организации второго уровня) и далее – по аналогичной схеме до </w:t>
      </w:r>
      <w:r>
        <w:t xml:space="preserve">конечного бенефициарного собственника (пример 1.1.3.1).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Каждый собственник указывается в отдельной строке Формы.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</w:t>
      </w:r>
      <w:r>
        <w:t xml:space="preserve">и наличие и состав собственников (выпиской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Заявок, выпиской из реестра акционеров </w:t>
      </w:r>
      <w:r>
        <w:t xml:space="preserve">и т.п.); для физических лиц - фамилия, имя и отчество (указываются полностью).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</w:t>
      </w:r>
      <w:r>
        <w:t xml:space="preserve">выданной соответствующим подразделением Федеральной налоговой службы не ранее чем за 6 месяцев до срока окончания подачи Заявок; для физического лица - адрес регистрации физического лица.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</w:rPr>
      </w:pPr>
      <w:r>
        <w:t xml:space="preserve">Раздел «руководитель/участник/акционер/бенефициар» (№14) – указывает</w:t>
      </w:r>
      <w:r>
        <w:t xml:space="preserve">ся, кем является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</w:t>
      </w:r>
      <w:r>
        <w:t xml:space="preserve">; конечным бенефициаром (Российская Федерация, гос. учреждения РФ, физические лица, кроме руководителей).</w:t>
      </w:r>
      <w:r>
        <w:rPr>
          <w:b/>
        </w:rPr>
      </w:r>
      <w:r>
        <w:rPr>
          <w:b/>
        </w:rPr>
      </w:r>
    </w:p>
    <w:p>
      <w:pPr>
        <w:pStyle w:val="1539"/>
        <w:numPr>
          <w:ilvl w:val="0"/>
          <w:numId w:val="86"/>
        </w:numPr>
        <w:ind w:left="0" w:firstLine="709"/>
        <w:jc w:val="both"/>
      </w:pPr>
      <w:r>
        <w:t xml:space="preserve">***Раздел «Информация о подтверждающих документах (наименование, реквизиты и т.д.)» (№16) – указываются документы, на основании которых вносились данн</w:t>
      </w:r>
      <w:r>
        <w:t xml:space="preserve">ые в разделы №№9-13, а также документ, подтверждающий статус участника(ов)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</w:t>
      </w:r>
      <w:r>
        <w:t xml:space="preserve">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  <w:r/>
    </w:p>
    <w:p>
      <w:pPr>
        <w:pStyle w:val="1539"/>
        <w:numPr>
          <w:ilvl w:val="0"/>
          <w:numId w:val="86"/>
        </w:numPr>
        <w:ind w:left="0" w:firstLine="709"/>
        <w:jc w:val="both"/>
        <w:rPr>
          <w:b/>
          <w:bCs/>
        </w:rPr>
      </w:pPr>
      <w:r>
        <w:rPr>
          <w:b/>
        </w:rPr>
        <w:t xml:space="preserve">Участ</w:t>
      </w:r>
      <w:r>
        <w:rPr>
          <w:b/>
        </w:rPr>
        <w:t xml:space="preserve">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jc w:val="right"/>
        <w:spacing w:after="160" w:line="259" w:lineRule="auto"/>
        <w:rPr>
          <w:b/>
        </w:rPr>
      </w:pPr>
      <w:r>
        <w:rPr>
          <w:b/>
        </w:rPr>
        <w:t xml:space="preserve">Приложение 1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</w:rPr>
      </w:pPr>
      <w:r>
        <w:rPr>
          <w:b/>
        </w:rPr>
        <w:t xml:space="preserve">Пример заполнения формы «Справка (информация) о собственниках участника закупки (включая конечных бенефициаров) (в том числе конечных)»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ООО «Организация-пример»</w:t>
      </w:r>
      <w:r>
        <w:rPr>
          <w:b/>
          <w:color w:val="000000"/>
          <w:u w:val="single"/>
        </w:rPr>
      </w:r>
      <w:r>
        <w:rPr>
          <w:b/>
          <w:color w:val="000000"/>
          <w:u w:val="single"/>
        </w:rPr>
      </w:r>
    </w:p>
    <w:p>
      <w:pPr>
        <w:jc w:val="center"/>
      </w:pPr>
      <w:r>
        <w:rPr>
          <w:i/>
          <w:color w:val="000000"/>
        </w:rPr>
        <w:t xml:space="preserve">(наименование организации)</w:t>
      </w:r>
      <w:r/>
    </w:p>
    <w:tbl>
      <w:tblPr>
        <w:tblW w:w="15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1275"/>
        <w:gridCol w:w="709"/>
        <w:gridCol w:w="1134"/>
        <w:gridCol w:w="1418"/>
        <w:gridCol w:w="567"/>
        <w:gridCol w:w="992"/>
        <w:gridCol w:w="709"/>
        <w:gridCol w:w="1134"/>
        <w:gridCol w:w="1134"/>
        <w:gridCol w:w="1111"/>
        <w:gridCol w:w="1134"/>
        <w:gridCol w:w="1157"/>
        <w:gridCol w:w="1275"/>
      </w:tblGrid>
      <w:tr>
        <w:tblPrEx/>
        <w:trPr>
          <w:jc w:val="center"/>
          <w:trHeight w:val="331"/>
        </w:trPr>
        <w:tc>
          <w:tcPr>
            <w:shd w:val="clear" w:color="000000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60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64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426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113" w:right="-22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ind w:left="-137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773456789</w:t>
            </w:r>
            <w:r>
              <w:rPr>
                <w:color w:val="000000"/>
                <w:sz w:val="14"/>
                <w:szCs w:val="16"/>
              </w:rPr>
              <w:t xml:space="preserve">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044567890123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45.хх.хх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4601 456789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7751212112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111222333444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7777 888999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222333444555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6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8888 111222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1. 2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7735345355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6158585888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987654321123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Сидорчук Светлана Петровна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0125 145678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775456123007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154568484</w:t>
            </w:r>
            <w:r>
              <w:rPr>
                <w:color w:val="000000"/>
                <w:sz w:val="14"/>
                <w:szCs w:val="16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7778899111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4545 123456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3334455777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2323 145678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Пример Лтд. (</w:t>
            </w:r>
            <w:r>
              <w:rPr>
                <w:color w:val="000000"/>
                <w:sz w:val="14"/>
                <w:szCs w:val="16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6"/>
              </w:rPr>
              <w:t xml:space="preserve">)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Кипр, Лимассол, 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color w:val="000000"/>
                <w:sz w:val="14"/>
                <w:szCs w:val="16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tabs>
          <w:tab w:val="left" w:pos="1080" w:leader="none"/>
        </w:tabs>
        <w:rPr>
          <w:bCs/>
          <w:sz w:val="22"/>
          <w:szCs w:val="22"/>
        </w:rPr>
      </w:pPr>
      <w:r>
        <w:rPr>
          <w:sz w:val="20"/>
          <w:vertAlign w:val="subscript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97980" cy="4023360"/>
                <wp:effectExtent l="0" t="0" r="762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5173528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56">
                          <a:extLst>
                            <a:ext uri="{96DAC541-7B7A-43D3-8B79-37D633B846F1}">
                              <asvg:svgBlip xmlns:asvg="http://schemas.microsoft.com/office/drawing/2016/SVG/main" r:embed="rId5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6697980" cy="402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7.40pt;height:316.80pt;mso-wrap-distance-left:0.00pt;mso-wrap-distance-top:0.00pt;mso-wrap-distance-right:0.00pt;mso-wrap-distance-bottom:0.00pt;" stroked="f">
                <v:path textboxrect="0,0,0,0"/>
                <v:imagedata r:id="rId56" o:title=""/>
              </v:shape>
            </w:pict>
          </mc:Fallback>
        </mc:AlternateConten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426"/>
        <w:jc w:val="center"/>
      </w:pPr>
      <w:r/>
      <w:r/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227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3" w:name="_Toc53"/>
      <w:r>
        <w:rPr>
          <w:sz w:val="24"/>
          <w:szCs w:val="24"/>
        </w:rPr>
        <w:t xml:space="preserve">ФОРМА СОГЛАСИЕ НА ОБРАБОТКУ ПЕРСОНАЛЬНЫХ ДАННЫХ</w:t>
      </w:r>
      <w:bookmarkEnd w:id="2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«____» ____________</w:t>
      </w:r>
      <w:r>
        <w:rPr>
          <w:b/>
        </w:rPr>
        <w:t xml:space="preserve">_____ 20 ____ г.</w:t>
      </w:r>
      <w:r>
        <w:rPr>
          <w:b/>
        </w:rPr>
      </w:r>
      <w:r>
        <w:rPr>
          <w:b/>
        </w:rPr>
      </w:r>
    </w:p>
    <w:p>
      <w:pPr>
        <w:ind w:firstLine="567"/>
        <w:spacing w:after="0"/>
        <w:widowControl w:val="off"/>
      </w:pPr>
      <w:r>
        <w:t xml:space="preserve">Настоящим, _____________________________________________________________,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  <w:vertAlign w:val="subscript"/>
        </w:rPr>
      </w:pPr>
      <w:r>
        <w:rPr>
          <w:b/>
          <w:i/>
          <w:vertAlign w:val="subscript"/>
        </w:rPr>
        <w:t xml:space="preserve">                                                  (указывается</w:t>
      </w:r>
      <w:r>
        <w:rPr>
          <w:vertAlign w:val="subscript"/>
        </w:rPr>
        <w:t xml:space="preserve"> </w:t>
      </w:r>
      <w:r>
        <w:rPr>
          <w:b/>
          <w:i/>
          <w:vertAlign w:val="subscript"/>
        </w:rPr>
        <w:t xml:space="preserve">полное наименование участника закупочной процедуры</w:t>
      </w:r>
      <w:r>
        <w:rPr>
          <w:b/>
          <w:i/>
          <w:vertAlign w:val="subscript"/>
        </w:rPr>
      </w:r>
      <w:r>
        <w:rPr>
          <w:b/>
          <w:i/>
          <w:vertAlign w:val="subscript"/>
        </w:rPr>
      </w:r>
    </w:p>
    <w:p>
      <w:pPr>
        <w:spacing w:after="0"/>
      </w:pPr>
      <w:r>
        <w:rPr>
          <w:b/>
          <w:i/>
        </w:rPr>
        <w:t xml:space="preserve">_____________________________________________________________________________</w:t>
      </w:r>
      <w:r/>
    </w:p>
    <w:p>
      <w:pPr>
        <w:jc w:val="center"/>
        <w:spacing w:after="0"/>
        <w:widowControl w:val="off"/>
        <w:rPr>
          <w:vertAlign w:val="subscript"/>
        </w:rPr>
      </w:pPr>
      <w:r>
        <w:rPr>
          <w:b/>
          <w:i/>
          <w:vertAlign w:val="subscript"/>
        </w:rPr>
        <w:t xml:space="preserve">(потенциального контрагента), контрагента)</w:t>
      </w:r>
      <w:r>
        <w:rPr>
          <w:vertAlign w:val="subscript"/>
        </w:rPr>
      </w:r>
      <w:r>
        <w:rPr>
          <w:vertAlign w:val="subscript"/>
        </w:rPr>
      </w:r>
    </w:p>
    <w:p>
      <w:pPr>
        <w:ind w:firstLine="567"/>
        <w:widowControl w:val="off"/>
      </w:pPr>
      <w:r>
        <w:t xml:space="preserve">Адрес регистрации: _______________________________________________________,</w:t>
      </w:r>
      <w:r/>
    </w:p>
    <w:p>
      <w:pPr>
        <w:ind w:firstLine="567"/>
        <w:widowControl w:val="off"/>
      </w:pPr>
      <w:r>
        <w:t xml:space="preserve">Свидетельство о регистрации: ______________________________</w:t>
      </w:r>
      <w:r>
        <w:t xml:space="preserve">________________</w:t>
      </w:r>
      <w:r/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jc w:val="center"/>
        <w:spacing w:after="0"/>
        <w:rPr>
          <w:b/>
          <w:bCs/>
          <w:i/>
          <w:iCs/>
          <w:vertAlign w:val="subscript"/>
        </w:rPr>
      </w:pPr>
      <w:r>
        <w:rPr>
          <w:b/>
          <w:i/>
          <w:vertAlign w:val="subscript"/>
        </w:rPr>
        <w:t xml:space="preserve">(указывается Ф.И.О.,</w:t>
      </w:r>
      <w:r>
        <w:rPr>
          <w:b/>
          <w:i/>
          <w:iCs/>
          <w:vertAlign w:val="subscript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vertAlign w:val="subscript"/>
        </w:rPr>
      </w:r>
      <w:r>
        <w:rPr>
          <w:b/>
          <w:bCs/>
          <w:i/>
          <w:iCs/>
          <w:vertAlign w:val="subscript"/>
        </w:rPr>
      </w:r>
    </w:p>
    <w:p>
      <w:pPr>
        <w:jc w:val="left"/>
      </w:pPr>
      <w:r>
        <w:rPr>
          <w:b/>
          <w:i/>
          <w:iCs/>
        </w:rPr>
        <w:t xml:space="preserve">_____________________________________________________________________________</w:t>
      </w:r>
      <w:r>
        <w:rPr>
          <w:iCs/>
        </w:rPr>
        <w:t xml:space="preserve">,</w:t>
      </w:r>
      <w:r/>
    </w:p>
    <w:p>
      <w:pPr>
        <w:ind w:firstLine="540"/>
        <w:jc w:val="center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</w:t>
      </w:r>
      <w:r>
        <w:rPr>
          <w:b/>
          <w:i/>
        </w:rPr>
        <w:t xml:space="preserve">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«Россети Янтарь»</w:t>
      </w:r>
      <w:r>
        <w:t xml:space="preserve">, зарегистрированному по адресу: 236022 г. Калининград, ул. Театральная, д. 34,</w:t>
      </w:r>
      <w:r>
        <w:rPr>
          <w:b/>
          <w:i/>
        </w:rPr>
        <w:t xml:space="preserve"> </w:t>
      </w:r>
      <w:r>
        <w:rPr>
          <w:b/>
        </w:rPr>
        <w:t xml:space="preserve">ДЗО _________«_________________» </w:t>
      </w:r>
      <w:r>
        <w:rPr>
          <w:b/>
          <w:i/>
        </w:rPr>
        <w:t xml:space="preserve">(указывается организационно-правовая форма и полное наименование),** </w:t>
      </w:r>
      <w:r>
        <w:t xml:space="preserve">зарегистрированному по адресу:</w:t>
      </w:r>
      <w:r>
        <w:t xml:space="preserve">_____________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«Российские сети»</w:t>
      </w:r>
      <w: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br/>
        <w:t xml:space="preserve">в том</w:t>
      </w:r>
      <w:r>
        <w:t xml:space="preserve">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</w:t>
      </w:r>
      <w:r>
        <w:t xml:space="preserve">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</w:t>
      </w:r>
      <w:r>
        <w:t xml:space="preserve">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567"/>
        <w:spacing w:after="0"/>
        <w:widowControl w:val="off"/>
      </w:pPr>
      <w:r>
        <w:t xml:space="preserve">Цель обработки персо</w:t>
      </w:r>
      <w:r>
        <w:t xml:space="preserve">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</w:t>
      </w:r>
      <w:r>
        <w:t xml:space="preserve">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</w:t>
      </w:r>
      <w:r>
        <w:t xml:space="preserve">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t xml:space="preserve">Срок, в течение которого действует настоящее согласие: со дня его по</w:t>
      </w:r>
      <w:r>
        <w:t xml:space="preserve">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849"/>
        <w:gridCol w:w="4394"/>
      </w:tblGrid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ind w:right="-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</w:t>
            </w:r>
            <w:r>
              <w:rPr>
                <w:bCs/>
                <w:sz w:val="20"/>
                <w:szCs w:val="20"/>
              </w:rPr>
              <w:t xml:space="preserve">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(подпись субъекта персональных данных уполномоченного представителя)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ind w:left="-103"/>
              <w:jc w:val="center"/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</w:tr>
    </w:tbl>
    <w:p>
      <w:pPr>
        <w:tabs>
          <w:tab w:val="left" w:pos="1080" w:leader="none"/>
        </w:tabs>
        <w:rPr>
          <w:b/>
          <w:bCs/>
        </w:rPr>
      </w:pPr>
      <w:r>
        <w:rPr>
          <w:b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87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Участник приводит номер и дату письма о подаче оферты, приложением к которому является данная форма.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Участник закупки, являющийся юридическим лицом, должен указать</w:t>
      </w:r>
      <w:r>
        <w:t xml:space="preserve">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</w:t>
      </w:r>
      <w:r>
        <w:t xml:space="preserve">прописки (индивидуальный предприниматель – адрес регистрации).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</w:t>
      </w:r>
      <w:r>
        <w:t xml:space="preserve">ть) свои персональные данные. Дополнительное перечисление собственников/бенефициаров в данной форме не обязательно.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** При заключении договоров АО «Россети Янтарь», АО «Россети Янтарь» обязаны получить соглас</w:t>
      </w:r>
      <w:r>
        <w:t xml:space="preserve">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</w:t>
      </w:r>
      <w:r>
        <w:t xml:space="preserve">мя, отчество; серия и номер документа, удостоверяющего личность; ИНН (участников, учредителей, акционеров, руководителей).</w:t>
      </w:r>
      <w:r/>
    </w:p>
    <w:p>
      <w:pPr>
        <w:numPr>
          <w:ilvl w:val="0"/>
          <w:numId w:val="87"/>
        </w:numPr>
        <w:ind w:left="0" w:firstLine="709"/>
        <w:spacing w:after="0"/>
      </w:pPr>
      <w: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</w:t>
      </w:r>
      <w:r>
        <w:t xml:space="preserve">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 «Россети», АО «Россети Янтарь», ДЗО АО «Россети Янтарь» перед руководителем, собственником</w:t>
      </w:r>
      <w:r>
        <w:t xml:space="preserve">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>
        <w:t xml:space="preserve"> своего субконтрагента, и предполагает, что участник закупки (потенциальный контрагент) / контрагент получил у руководителя, своих бенефициаров и бенефициаров своих субконтрагентов согласие на представление (обработку) ПАО «Россети», АО «Россети Янтарь», Д</w:t>
      </w:r>
      <w:r>
        <w:t xml:space="preserve">ЗО АО «Россети Янтарь»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>
        <w:br w:type="page" w:clear="all"/>
      </w:r>
      <w:r/>
    </w:p>
    <w:p>
      <w:pPr>
        <w:pStyle w:val="1227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264" w:name="_Toc54"/>
      <w:r>
        <w:rPr>
          <w:sz w:val="24"/>
          <w:szCs w:val="24"/>
        </w:rPr>
        <w:t xml:space="preserve">ФОРМА АНТИКОРРУПЦИОННЫЕ ОБЯЗАТЕЛЬСТВА</w:t>
      </w:r>
      <w:bookmarkEnd w:id="264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ind w:firstLine="567"/>
        <w:spacing w:after="0"/>
      </w:pPr>
      <w:r>
        <w:t xml:space="preserve">Антикоррупци</w:t>
      </w:r>
      <w:r>
        <w:t xml:space="preserve">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АО «Россети Янтарь» по разработке и принятию мер по предупреждению и противодействию к</w:t>
      </w:r>
      <w:r>
        <w:t xml:space="preserve">оррупции.</w:t>
      </w:r>
      <w:r/>
    </w:p>
    <w:p>
      <w:pPr>
        <w:numPr>
          <w:ilvl w:val="0"/>
          <w:numId w:val="88"/>
        </w:numPr>
        <w:ind w:left="0" w:firstLine="567"/>
        <w:spacing w:after="0"/>
        <w:tabs>
          <w:tab w:val="num" w:pos="567" w:leader="none"/>
        </w:tabs>
      </w:pPr>
      <w: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</w:t>
      </w:r>
      <w:r>
        <w:t xml:space="preserve">упочных процедур) для нужд АО «Россети Янтарь»,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567"/>
        <w:spacing w:after="0"/>
        <w:widowControl w:val="off"/>
        <w:tabs>
          <w:tab w:val="num" w:pos="567" w:leader="none"/>
        </w:tabs>
      </w:pPr>
      <w:r>
        <w:t xml:space="preserve">1.1</w:t>
      </w:r>
      <w:r>
        <w:tab/>
        <w:t xml:space="preserve">Ознакомлен с Антикоррупционной хартией российского бизнеса и</w:t>
      </w:r>
      <w:r>
        <w:t xml:space="preserve"> Антикоррупционной политикой ПАО «Россети» и его ДЗО, представленными в разделе «Антикоррупционная политика» на официальном сайте АО «Россети Янтарь») по адресу в сети Интернет </w:t>
      </w:r>
      <w:hyperlink r:id="rId58" w:tooltip="https://rosseti-yantar.ru/about/antikorruptsionnaya-politika/" w:history="1">
        <w:r>
          <w:rPr>
            <w:rStyle w:val="1446"/>
          </w:rPr>
          <w:t xml:space="preserve">https://rosseti-yantar.ru/about/antikorruptsionnaya-politika/</w:t>
        </w:r>
      </w:hyperlink>
      <w:r>
        <w:t xml:space="preserve"> (далее - Антикоррупционная политика).</w:t>
      </w:r>
      <w:r/>
    </w:p>
    <w:p>
      <w:pPr>
        <w:numPr>
          <w:ilvl w:val="1"/>
          <w:numId w:val="92"/>
        </w:numPr>
        <w:contextualSpacing/>
        <w:ind w:left="0" w:firstLine="567"/>
        <w:spacing w:after="0"/>
        <w:widowControl w:val="off"/>
        <w:tabs>
          <w:tab w:val="num" w:pos="567" w:leader="none"/>
        </w:tabs>
      </w:pPr>
      <w:r>
        <w:t xml:space="preserve">Согласен с принимаемыми в АО «Россети Янтарь» мерами, направленными на предупреждение и пр</w:t>
      </w:r>
      <w:r>
        <w:t xml:space="preserve">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</w:t>
      </w:r>
      <w:r>
        <w:t xml:space="preserve">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</w:t>
      </w:r>
      <w:r>
        <w:t xml:space="preserve">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</w:t>
      </w:r>
      <w:r>
        <w:t xml:space="preserve">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</w:t>
      </w:r>
      <w:r>
        <w:t xml:space="preserve">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88"/>
        </w:numPr>
        <w:ind w:left="0" w:firstLine="567"/>
        <w:spacing w:after="0"/>
        <w:tabs>
          <w:tab w:val="num" w:pos="567" w:leader="none"/>
        </w:tabs>
      </w:pPr>
      <w:r>
        <w:t xml:space="preserve">Участник, а также его аффилирован</w:t>
      </w:r>
      <w:r>
        <w:t xml:space="preserve">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</w:t>
      </w:r>
      <w:r>
        <w:t xml:space="preserve">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567"/>
        <w:spacing w:after="0"/>
        <w:tabs>
          <w:tab w:val="num" w:pos="567" w:leader="none"/>
        </w:tabs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непредставл</w:t>
      </w:r>
      <w:r>
        <w:t xml:space="preserve">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освобождение, предложение или обещан</w:t>
      </w:r>
      <w:r>
        <w:t xml:space="preserve">ие освободить от исполнения обязательства или обязанности;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предо</w:t>
      </w:r>
      <w:r>
        <w:t xml:space="preserve">ставление, предложение или обещание предоставить иные выгоды; </w:t>
      </w:r>
      <w:r/>
    </w:p>
    <w:p>
      <w:pPr>
        <w:numPr>
          <w:ilvl w:val="0"/>
          <w:numId w:val="91"/>
        </w:numPr>
        <w:ind w:left="0" w:firstLine="709"/>
        <w:spacing w:after="0"/>
        <w:tabs>
          <w:tab w:val="num" w:pos="567" w:leader="none"/>
        </w:tabs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90"/>
        </w:numPr>
        <w:ind w:left="0" w:firstLine="567"/>
        <w:spacing w:after="0"/>
        <w:tabs>
          <w:tab w:val="num" w:pos="567" w:leader="none"/>
        </w:tabs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</w:t>
      </w:r>
      <w:r>
        <w:t xml:space="preserve">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неоправда</w:t>
      </w:r>
      <w:r>
        <w:t xml:space="preserve">нных преимуществ по сравнению с другими участниками закупочных процедур;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каких-либо гарантий;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ускорение существующих процедур;</w:t>
      </w:r>
      <w:r/>
    </w:p>
    <w:p>
      <w:pPr>
        <w:numPr>
          <w:ilvl w:val="0"/>
          <w:numId w:val="89"/>
        </w:numPr>
        <w:ind w:left="0" w:firstLine="709"/>
        <w:spacing w:after="0"/>
        <w:tabs>
          <w:tab w:val="num" w:pos="567" w:leader="none"/>
        </w:tabs>
      </w:pPr>
      <w: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В случае возникновения у Участника оснований полаг</w:t>
      </w:r>
      <w:r>
        <w:t xml:space="preserve">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</w:t>
      </w:r>
      <w:r>
        <w:t xml:space="preserve">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</w:t>
      </w:r>
      <w:r>
        <w:t xml:space="preserve">результатах в адрес Участника.</w:t>
      </w:r>
      <w:r/>
    </w:p>
    <w:p>
      <w:pPr>
        <w:numPr>
          <w:ilvl w:val="0"/>
          <w:numId w:val="90"/>
        </w:numPr>
        <w:ind w:left="0" w:firstLine="567"/>
        <w:spacing w:after="0"/>
        <w:tabs>
          <w:tab w:val="num" w:pos="567" w:leader="none"/>
        </w:tabs>
      </w:pPr>
      <w: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r/>
      <w:r/>
    </w:p>
    <w:p>
      <w:r/>
      <w:r/>
    </w:p>
    <w:p>
      <w:pPr>
        <w:ind w:firstLine="567"/>
        <w:spacing w:after="160"/>
        <w:rPr>
          <w:rFonts w:eastAsia="Calibri"/>
          <w:b/>
          <w:i/>
        </w:rPr>
      </w:pPr>
      <w:r>
        <w:rPr>
          <w:rFonts w:eastAsia="Calibri"/>
          <w:b/>
          <w:bCs/>
          <w:i/>
          <w:iCs/>
        </w:rPr>
        <w:t xml:space="preserve">Информация о формах обратной связи ПАО «Россети» в рамках системы предупреждения и профилактики коррупции:</w:t>
      </w:r>
      <w:r>
        <w:rPr>
          <w:rFonts w:eastAsia="Calibri"/>
          <w:b/>
          <w:i/>
        </w:rPr>
      </w:r>
      <w:r>
        <w:rPr>
          <w:rFonts w:eastAsia="Calibri"/>
          <w:b/>
          <w:i/>
        </w:rPr>
      </w:r>
    </w:p>
    <w:p>
      <w:pPr>
        <w:rPr>
          <w:rFonts w:eastAsia="Calibri"/>
          <w:bCs/>
          <w:i/>
          <w:iCs/>
          <w:shd w:val="clear" w:color="auto" w:fill="ffffff"/>
        </w:rPr>
      </w:pPr>
      <w:r>
        <w:rPr>
          <w:rFonts w:eastAsia="Calibri"/>
          <w:bCs/>
          <w:i/>
        </w:rPr>
        <w:t xml:space="preserve">         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</w:rPr>
        <w:t xml:space="preserve">» действует система </w:t>
      </w:r>
      <w:r>
        <w:rPr>
          <w:rFonts w:eastAsia="Calibri"/>
          <w:bCs/>
          <w:i/>
          <w:iCs/>
        </w:rPr>
        <w:t xml:space="preserve">предупреждения и профилактики коррупции.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Информацию о возможных фактах коррупции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  <w:shd w:val="clear" w:color="auto" w:fill="ffffff"/>
        </w:rPr>
        <w:t xml:space="preserve">», а также дочерних зависимых обществах и их филиалах можно сообщить, заполнив </w:t>
      </w:r>
      <w:hyperlink r:id="rId59" w:tooltip="http://www.rosseti.ru/about/contacts/opinion/" w:history="1">
        <w:r>
          <w:rPr>
            <w:rFonts w:eastAsia="Calibri"/>
            <w:bCs/>
            <w:i/>
            <w:u w:val="single"/>
            <w:shd w:val="clear" w:color="auto" w:fill="ffffff"/>
          </w:rPr>
          <w:t xml:space="preserve">форму обра</w:t>
        </w:r>
        <w:r>
          <w:rPr>
            <w:rFonts w:eastAsia="Calibri"/>
            <w:bCs/>
            <w:i/>
            <w:u w:val="single"/>
            <w:shd w:val="clear" w:color="auto" w:fill="ffffff"/>
          </w:rPr>
          <w:t xml:space="preserve">тной связи</w:t>
        </w:r>
      </w:hyperlink>
      <w:r>
        <w:rPr>
          <w:rFonts w:eastAsia="Calibri"/>
          <w:bCs/>
          <w:i/>
        </w:rPr>
        <w:t xml:space="preserve"> на корпоративном веб-сайте</w:t>
      </w:r>
      <w:r>
        <w:rPr>
          <w:rFonts w:eastAsia="Calibri"/>
          <w:bCs/>
          <w:i/>
          <w:shd w:val="clear" w:color="auto" w:fill="ffffff"/>
        </w:rPr>
        <w:t xml:space="preserve">, позвонив по телефону «Горячей линии» +7 495 664-8494, или направив письменное обращение по адресу:</w:t>
      </w:r>
      <w:r>
        <w:rPr>
          <w:rFonts w:eastAsia="Calibri"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121353, Москва, ул. Беловежская, д. 4</w:t>
      </w:r>
      <w:r>
        <w:rPr>
          <w:rFonts w:eastAsia="Calibri"/>
          <w:bCs/>
          <w:i/>
          <w:iCs/>
          <w:shd w:val="clear" w:color="auto" w:fill="ffffff"/>
        </w:rPr>
        <w:t xml:space="preserve">.</w:t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jc w:val="left"/>
        <w:spacing w:after="160" w:line="259" w:lineRule="auto"/>
        <w:rPr>
          <w:rFonts w:eastAsia="Calibri"/>
          <w:i/>
          <w:iCs/>
          <w:shd w:val="clear" w:color="auto" w:fill="ffffff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bookmarkStart w:id="178" w:name="_ФОРМА_Справка_о"/>
      <w:r/>
      <w:bookmarkEnd w:id="178"/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i/>
          <w:iCs/>
          <w:shd w:val="clear" w:color="auto" w:fill="ffffff"/>
        </w:rPr>
      </w:r>
    </w:p>
    <w:p>
      <w:pPr>
        <w:pStyle w:val="1227"/>
        <w:rPr>
          <w:highlight w:val="none"/>
        </w:rPr>
      </w:pPr>
      <w:r/>
      <w:bookmarkStart w:id="265" w:name="_Toc55"/>
      <w:r>
        <w:rPr>
          <w:sz w:val="24"/>
          <w:szCs w:val="24"/>
          <w:highlight w:val="none"/>
        </w:rPr>
        <w:t xml:space="preserve">ФОРМА СПРАВКА О ПЕРЕЧНЕ И ОБЪЕМАХ ВЫПОЛНЕНИЯ АНАЛОГИЧНЫХ ДОГОВОРОВ</w:t>
      </w:r>
      <w:r>
        <w:rPr>
          <w:highlight w:val="none"/>
        </w:rPr>
      </w:r>
      <w:bookmarkEnd w:id="265"/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Справка о перечне и объемах выполнения аналогичных договоров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Наименование закупки _______________________________________________________________________________ Лот № 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Номер изве</w:t>
      </w:r>
      <w:r>
        <w:rPr>
          <w:highlight w:val="none"/>
        </w:rPr>
        <w:t xml:space="preserve">щения о проведении закупки в ЕИС: 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Наименование участника закупки: _____________________________________________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highlight w:val="none"/>
        </w:rPr>
      </w:pPr>
      <w:r>
        <w:rPr>
          <w:highlight w:val="none"/>
        </w:rPr>
        <w:t xml:space="preserve">Юридический адрес (место нахождения) участника закупки: 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474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381"/>
        <w:gridCol w:w="2552"/>
        <w:gridCol w:w="1984"/>
        <w:gridCol w:w="1560"/>
        <w:gridCol w:w="1559"/>
        <w:gridCol w:w="3118"/>
      </w:tblGrid>
      <w:tr>
        <w:tblPrEx/>
        <w:trPr>
          <w:cantSplit/>
          <w:trHeight w:val="1565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26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26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п/п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 и дата договора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Сроки</w:t>
            </w:r>
            <w:r>
              <w:rPr>
                <w:sz w:val="20"/>
                <w:szCs w:val="20"/>
                <w:highlight w:val="none"/>
              </w:rPr>
              <w:t xml:space="preserve">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Заказчик по договору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  <w:p>
            <w:pPr>
              <w:pStyle w:val="1526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Описание договора (объем и состав услуг, описание основных условий договора)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526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рублей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26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(без НДС)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26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рублей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26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(с НДС)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526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Стоимость аналогичных работ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1526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  <w:highlight w:val="none"/>
              </w:rPr>
            </w:pPr>
            <w:r>
              <w:rPr>
                <w:i/>
                <w:sz w:val="20"/>
                <w:szCs w:val="20"/>
                <w:highlight w:val="none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  <w:highlight w:val="none"/>
              </w:rPr>
            </w:r>
            <w:r>
              <w:rPr>
                <w:i/>
                <w:sz w:val="20"/>
                <w:szCs w:val="20"/>
                <w:highlight w:val="none"/>
              </w:rPr>
            </w:r>
          </w:p>
          <w:p>
            <w:pPr>
              <w:pStyle w:val="1526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Сумма, </w:t>
            </w:r>
            <w:r>
              <w:rPr>
                <w:sz w:val="20"/>
                <w:szCs w:val="20"/>
                <w:highlight w:val="none"/>
              </w:rPr>
              <w:t xml:space="preserve">руб. без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301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1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2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3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bCs/>
                <w:sz w:val="20"/>
                <w:szCs w:val="20"/>
                <w:highlight w:val="none"/>
              </w:rPr>
            </w:pPr>
            <w:r>
              <w:rPr>
                <w:b/>
                <w:bCs/>
                <w:sz w:val="20"/>
                <w:szCs w:val="20"/>
                <w:highlight w:val="none"/>
              </w:rPr>
              <w:t xml:space="preserve">4</w:t>
            </w:r>
            <w:r>
              <w:rPr>
                <w:b/>
                <w:bCs/>
                <w:sz w:val="20"/>
                <w:szCs w:val="20"/>
                <w:highlight w:val="none"/>
              </w:rPr>
            </w:r>
            <w:r>
              <w:rPr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5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526"/>
              <w:ind w:left="-109" w:right="-10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6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7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526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8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526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526"/>
              <w:jc w:val="center"/>
              <w:keepNext w:val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6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526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1526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-79" w:right="-108"/>
              <w:jc w:val="center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176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…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5"/>
            <w:tcW w:w="8505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ВСЕГО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528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528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none"/>
              </w:rPr>
            </w:pP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  <w:r>
              <w:rPr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none"/>
                <w:vertAlign w:val="subscript"/>
              </w:rPr>
            </w:pPr>
            <w:r>
              <w:rPr>
                <w:bCs/>
                <w:sz w:val="28"/>
                <w:szCs w:val="28"/>
                <w:highlight w:val="none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  <w:r>
              <w:rPr>
                <w:bCs/>
                <w:sz w:val="28"/>
                <w:szCs w:val="28"/>
                <w:highlight w:val="none"/>
                <w:vertAlign w:val="subscript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b/>
          <w:bCs/>
          <w:highlight w:val="none"/>
        </w:rPr>
        <w:t xml:space="preserve">м.п.</w:t>
      </w:r>
      <w:r>
        <w:rPr>
          <w:highlight w:val="none"/>
        </w:rPr>
      </w:r>
      <w:r>
        <w:rPr>
          <w:highlight w:val="none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right="424"/>
        <w:spacing w:after="0"/>
        <w:tabs>
          <w:tab w:val="left" w:pos="48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spacing w:after="0"/>
        <w:rPr>
          <w:b/>
          <w:highlight w:val="none"/>
        </w:rPr>
      </w:pPr>
      <w:r>
        <w:rPr>
          <w:b/>
          <w:highlight w:val="none"/>
        </w:rPr>
        <w:t xml:space="preserve">Инструкции по заполнению: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539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highlight w:val="none"/>
        </w:rPr>
      </w:r>
      <w:r>
        <w:rPr>
          <w:highlight w:val="none"/>
        </w:rPr>
      </w:r>
    </w:p>
    <w:p>
      <w:pPr>
        <w:pStyle w:val="1539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highlight w:val="none"/>
        </w:rPr>
      </w:r>
      <w:r>
        <w:rPr>
          <w:highlight w:val="none"/>
        </w:rPr>
      </w:r>
    </w:p>
    <w:p>
      <w:pPr>
        <w:pStyle w:val="1539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</w:t>
      </w:r>
      <w:r>
        <w:rPr>
          <w:highlight w:val="none"/>
        </w:rPr>
        <w:t xml:space="preserve">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highlight w:val="none"/>
        </w:rPr>
      </w:r>
      <w:r>
        <w:rPr>
          <w:highlight w:val="none"/>
        </w:rPr>
      </w:r>
    </w:p>
    <w:p>
      <w:pPr>
        <w:pStyle w:val="1539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В этой форме Участник закупки ук</w:t>
      </w:r>
      <w:r>
        <w:rPr>
          <w:highlight w:val="none"/>
        </w:rPr>
        <w:t xml:space="preserve">азывает перечень и годовые объемы выполнения всех аналогичных договоров, сопоставимых по объемам, срокам выполнения и прочим требованиям, установленным в документации о закупке.</w:t>
      </w:r>
      <w:r>
        <w:rPr>
          <w:highlight w:val="none"/>
        </w:rPr>
      </w:r>
      <w:r>
        <w:rPr>
          <w:highlight w:val="none"/>
        </w:rPr>
      </w:r>
    </w:p>
    <w:p>
      <w:pPr>
        <w:pStyle w:val="1539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должен указать фактически выполненные по договорам объемы раб</w:t>
      </w:r>
      <w:r>
        <w:rPr>
          <w:highlight w:val="none"/>
        </w:rPr>
        <w:t xml:space="preserve">от.</w:t>
      </w:r>
      <w:r>
        <w:rPr>
          <w:highlight w:val="none"/>
        </w:rPr>
      </w:r>
      <w:r>
        <w:rPr>
          <w:highlight w:val="none"/>
        </w:rPr>
      </w:r>
    </w:p>
    <w:p>
      <w:pPr>
        <w:pStyle w:val="1539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Участник закупки должен указать опыт исполнения договоров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</w:r>
      <w:r>
        <w:rPr>
          <w:highlight w:val="none"/>
        </w:rPr>
      </w:r>
      <w:r>
        <w:rPr>
          <w:highlight w:val="none"/>
        </w:rPr>
      </w:r>
    </w:p>
    <w:p>
      <w:pPr>
        <w:pStyle w:val="1539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В случае е</w:t>
      </w:r>
      <w:r>
        <w:rPr>
          <w:highlight w:val="none"/>
        </w:rPr>
        <w:t xml:space="preserve">сли Участник указывает в настоящей справке сведения о договоре, включающем в себя как объем аналогичных работ, так и объем работ, не являющихся аналогичными в соответствии с требованиями, указанными в документации о закупке, в таком случае Участник должен </w:t>
      </w:r>
      <w:r>
        <w:rPr>
          <w:highlight w:val="none"/>
        </w:rPr>
        <w:t xml:space="preserve">в гр. 8 данной формы указать объем аналогичных работ, выполненных по указанному договору выраженный в рублях без учета НДС.</w:t>
      </w:r>
      <w:r>
        <w:rPr>
          <w:highlight w:val="none"/>
        </w:rPr>
      </w:r>
      <w:r>
        <w:rPr>
          <w:highlight w:val="none"/>
        </w:rPr>
      </w:r>
    </w:p>
    <w:p>
      <w:pPr>
        <w:pStyle w:val="1539"/>
        <w:numPr>
          <w:ilvl w:val="0"/>
          <w:numId w:val="98"/>
        </w:numPr>
        <w:ind w:left="0" w:firstLine="709"/>
        <w:jc w:val="both"/>
        <w:rPr>
          <w:highlight w:val="none"/>
        </w:rPr>
      </w:pPr>
      <w:r>
        <w:rPr>
          <w:b/>
          <w:highlight w:val="none"/>
        </w:rPr>
        <w:t xml:space="preserve">Участнику закупки должен приложить файл данной формы, выполненный в редактируемом формате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spacing w:after="160" w:line="259" w:lineRule="auto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hd w:val="nil" w:color="auto"/>
        <w:rPr>
          <w:rFonts w:eastAsia="Calibri"/>
          <w:bCs/>
          <w:i/>
          <w:highlight w:val="none"/>
        </w:rPr>
        <w:sectPr>
          <w:footnotePr/>
          <w:endnotePr/>
          <w:type w:val="nextPage"/>
          <w:pgSz w:w="16838" w:h="11906" w:orient="landscape"/>
          <w:pgMar w:top="1701" w:right="1134" w:bottom="850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eastAsia="Calibri"/>
          <w:bCs/>
          <w:i/>
          <w:iCs/>
          <w:highlight w:val="none"/>
          <w:shd w:val="clear" w:color="auto" w:fill="ffffff"/>
        </w:rPr>
      </w:r>
      <w:r>
        <w:rPr>
          <w:rFonts w:eastAsia="Calibri"/>
          <w:bCs/>
          <w:i/>
        </w:rPr>
      </w:r>
      <w:r>
        <w:rPr>
          <w:rFonts w:eastAsia="Calibri"/>
          <w:bCs/>
          <w:i/>
          <w:highlight w:val="none"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227"/>
        <w:rPr>
          <w:rFonts w:eastAsiaTheme="majorEastAsia"/>
          <w:sz w:val="24"/>
          <w:szCs w:val="24"/>
          <w:highlight w:val="none"/>
        </w:rPr>
      </w:pPr>
      <w:r/>
      <w:bookmarkStart w:id="266" w:name="_Toc56"/>
      <w:r>
        <w:rPr>
          <w:highlight w:val="none"/>
        </w:rPr>
      </w:r>
      <w:bookmarkStart w:id="195" w:name="_ФОРМА_Комм"/>
      <w:r>
        <w:rPr>
          <w:highlight w:val="none"/>
        </w:rPr>
      </w:r>
      <w:bookmarkStart w:id="196" w:name="_ФОРМА_Коммерческое_предложение"/>
      <w:r>
        <w:rPr>
          <w:highlight w:val="none"/>
        </w:rPr>
      </w:r>
      <w:bookmarkEnd w:id="195"/>
      <w:r>
        <w:rPr>
          <w:highlight w:val="none"/>
        </w:rPr>
      </w:r>
      <w:bookmarkEnd w:id="196"/>
      <w:r>
        <w:rPr>
          <w:sz w:val="24"/>
          <w:szCs w:val="24"/>
          <w:highlight w:val="none"/>
        </w:rPr>
        <w:t xml:space="preserve">ФОРМА КОММЕРЧЕСКОЕ П</w:t>
      </w:r>
      <w:r>
        <w:rPr>
          <w:sz w:val="24"/>
          <w:szCs w:val="24"/>
          <w:highlight w:val="none"/>
        </w:rPr>
        <w:t xml:space="preserve">РЕДЛОЖЕНИЕ</w:t>
      </w:r>
      <w:bookmarkEnd w:id="266"/>
      <w:r>
        <w:rPr>
          <w:rFonts w:eastAsiaTheme="majorEastAsia"/>
          <w:sz w:val="24"/>
          <w:szCs w:val="24"/>
          <w:highlight w:val="none"/>
        </w:rPr>
      </w:r>
      <w:r>
        <w:rPr>
          <w:rFonts w:eastAsiaTheme="majorEastAsia"/>
          <w:sz w:val="24"/>
          <w:szCs w:val="24"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  <w:t xml:space="preserve">(представляется в составе ценового предложения)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rPr>
          <w:b/>
        </w:rPr>
      </w:pPr>
      <w:r>
        <w:rPr>
          <w:highlight w:val="none"/>
        </w:rPr>
        <w:t xml:space="preserve">Форма коммерческого предложения участника закупки представлена в Приложении № 5 к настоящей документации о закупке</w:t>
      </w:r>
      <w:r>
        <w:rPr>
          <w:highlight w:val="none"/>
        </w:rPr>
        <w:t xml:space="preserve">.</w:t>
      </w:r>
      <w:r>
        <w:rPr>
          <w:b/>
        </w:rPr>
      </w:r>
      <w:r>
        <w:rPr>
          <w:b/>
        </w:rPr>
      </w:r>
    </w:p>
    <w:p>
      <w:pPr>
        <w:numPr>
          <w:ilvl w:val="0"/>
          <w:numId w:val="13"/>
        </w:numPr>
        <w:ind w:left="426"/>
        <w:spacing w:after="0"/>
        <w:rPr>
          <w:b/>
          <w:highlight w:val="yellow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yellow"/>
        </w:rPr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pStyle w:val="1226"/>
        <w:numPr>
          <w:ilvl w:val="0"/>
          <w:numId w:val="4"/>
        </w:numPr>
        <w:ind w:left="0" w:firstLine="567"/>
        <w:pageBreakBefore/>
        <w:spacing w:before="0" w:after="0"/>
        <w:rPr>
          <w:rStyle w:val="1397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267" w:name="_Toc57"/>
      <w:r/>
      <w:bookmarkStart w:id="198" w:name="_IV._ПРОЕКТ"/>
      <w:r/>
      <w:bookmarkStart w:id="199" w:name="_ФОРМА_15._Справка"/>
      <w:r/>
      <w:bookmarkStart w:id="200" w:name="_ФОРМА__Справка"/>
      <w:r/>
      <w:bookmarkStart w:id="201" w:name="_ПРОЕКТ_ДОГОВОРА"/>
      <w:r/>
      <w:bookmarkEnd w:id="198"/>
      <w:r/>
      <w:bookmarkEnd w:id="199"/>
      <w:r/>
      <w:bookmarkEnd w:id="200"/>
      <w:r/>
      <w:bookmarkEnd w:id="201"/>
      <w:r>
        <w:rPr>
          <w:rStyle w:val="1397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bookmarkEnd w:id="267"/>
      <w:r>
        <w:rPr>
          <w:rStyle w:val="1397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r>
        <w:rPr>
          <w:rStyle w:val="1397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Проект договора представлен в виде отдельного ф</w:t>
      </w:r>
      <w:r>
        <w:rPr>
          <w:bCs/>
        </w:rPr>
        <w:t xml:space="preserve">айла в составе Приложения №1 к документации о закупке.</w:t>
      </w:r>
      <w:r/>
    </w:p>
    <w:p>
      <w:pPr>
        <w:jc w:val="left"/>
        <w:spacing w:after="0"/>
        <w:rPr>
          <w:bCs/>
        </w:rPr>
      </w:pPr>
      <w:r>
        <w:rPr>
          <w:rStyle w:val="1397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226"/>
        <w:numPr>
          <w:ilvl w:val="0"/>
          <w:numId w:val="4"/>
        </w:numPr>
        <w:ind w:left="0" w:firstLine="567"/>
        <w:spacing w:before="0" w:after="0"/>
        <w:rPr>
          <w:rStyle w:val="1397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268" w:name="_Toc58"/>
      <w:r/>
      <w:bookmarkStart w:id="203" w:name="_V._ТЕХНИЧЕ"/>
      <w:r/>
      <w:bookmarkStart w:id="204" w:name="_ТЕХНИЧЕСКАЯ_ЧАСТЬ"/>
      <w:r/>
      <w:bookmarkEnd w:id="203"/>
      <w:r/>
      <w:bookmarkEnd w:id="204"/>
      <w:r>
        <w:rPr>
          <w:rStyle w:val="1397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bookmarkEnd w:id="268"/>
      <w:r>
        <w:rPr>
          <w:rStyle w:val="1397"/>
          <w:rFonts w:ascii="Times New Roman" w:hAnsi="Times New Roman" w:cs="Times New Roman"/>
          <w:b w:val="0"/>
          <w:color w:val="auto"/>
          <w:sz w:val="28"/>
          <w:szCs w:val="28"/>
        </w:rPr>
      </w:r>
      <w:r>
        <w:rPr>
          <w:rStyle w:val="1397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Технические требования к продукции (предмету закупки) представлены в виде отдельного файла в составе Приложения №2 к документации о закупке.</w:t>
      </w:r>
      <w:r/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left"/>
        <w:spacing w:after="160" w:line="259" w:lineRule="auto"/>
        <w:rPr>
          <w:rStyle w:val="1397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Style w:val="1397"/>
          <w:rFonts w:ascii="Times New Roman" w:hAnsi="Times New Roman" w:cs="Times New Roman"/>
          <w:color w:val="auto"/>
          <w:sz w:val="28"/>
          <w:szCs w:val="28"/>
        </w:rPr>
        <w:br w:type="page" w:clear="all"/>
      </w:r>
      <w:r>
        <w:rPr>
          <w:rStyle w:val="1397"/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Style w:val="1397"/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pStyle w:val="1226"/>
        <w:numPr>
          <w:ilvl w:val="0"/>
          <w:numId w:val="4"/>
        </w:numPr>
        <w:ind w:left="0" w:firstLine="567"/>
        <w:spacing w:before="0" w:after="0"/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269" w:name="_Toc59"/>
      <w:r/>
      <w:bookmarkStart w:id="206" w:name="_ОБОСНОВАНИЕ_НМЦ"/>
      <w:r/>
      <w:bookmarkEnd w:id="206"/>
      <w:r>
        <w:rPr>
          <w:rStyle w:val="1397"/>
          <w:rFonts w:ascii="Times New Roman" w:hAnsi="Times New Roman" w:cs="Times New Roman"/>
          <w:color w:val="auto"/>
          <w:sz w:val="28"/>
          <w:szCs w:val="28"/>
        </w:rPr>
        <w:t xml:space="preserve">ОБОСНОВАНИЕ НМЦ</w:t>
      </w:r>
      <w:bookmarkEnd w:id="269"/>
      <w:r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397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Обоснование НМЦ представлено в виде отдельного файла в составе Приложения №3 к документации о закупке.</w:t>
      </w:r>
      <w:r/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226"/>
        <w:numPr>
          <w:ilvl w:val="0"/>
          <w:numId w:val="4"/>
        </w:numPr>
        <w:ind w:left="0" w:firstLine="567"/>
        <w:spacing w:before="0" w:after="0"/>
      </w:pPr>
      <w:r/>
      <w:bookmarkStart w:id="270" w:name="_Toc60"/>
      <w:r/>
      <w:bookmarkStart w:id="208" w:name="_VII._ТИПОВ"/>
      <w:r/>
      <w:bookmarkStart w:id="209" w:name="_Типовые_формы_независимых"/>
      <w:r/>
      <w:bookmarkStart w:id="210" w:name="_Hlk121332483"/>
      <w:r/>
      <w:bookmarkEnd w:id="208"/>
      <w:r/>
      <w:bookmarkEnd w:id="209"/>
      <w:r>
        <w:rPr>
          <w:sz w:val="28"/>
          <w:szCs w:val="28"/>
        </w:rPr>
        <w:t xml:space="preserve">ТИПОВ</w:t>
      </w:r>
      <w:r>
        <w:rPr>
          <w:rFonts w:eastAsiaTheme="majorEastAsia"/>
          <w:sz w:val="28"/>
          <w:szCs w:val="28"/>
        </w:rPr>
        <w:t xml:space="preserve">ЫЕ</w:t>
      </w:r>
      <w:r>
        <w:rPr>
          <w:sz w:val="28"/>
          <w:szCs w:val="28"/>
        </w:rPr>
        <w:t xml:space="preserve"> ФОРМ</w:t>
      </w:r>
      <w:r>
        <w:rPr>
          <w:rFonts w:eastAsiaTheme="majorEastAsia"/>
          <w:sz w:val="28"/>
          <w:szCs w:val="28"/>
        </w:rPr>
        <w:t xml:space="preserve">Ы</w:t>
      </w:r>
      <w:r>
        <w:rPr>
          <w:sz w:val="28"/>
          <w:szCs w:val="28"/>
        </w:rPr>
        <w:t xml:space="preserve"> НЕЗАВИСИМ</w:t>
      </w:r>
      <w:r>
        <w:rPr>
          <w:rFonts w:eastAsiaTheme="majorEastAsia"/>
          <w:sz w:val="28"/>
          <w:szCs w:val="28"/>
        </w:rPr>
        <w:t xml:space="preserve">ЫХ ГАРАНТИЙ</w:t>
      </w:r>
      <w:bookmarkEnd w:id="210"/>
      <w:r/>
      <w:bookmarkEnd w:id="270"/>
      <w:r/>
      <w:r/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 независимой гарантии обеспечения заявки участника закупочной процедуры</w:t>
      </w:r>
      <w:r>
        <w:rPr>
          <w:b/>
          <w:i/>
        </w:rPr>
      </w:r>
      <w:r>
        <w:rPr>
          <w:b/>
          <w:i/>
        </w:rPr>
      </w:r>
    </w:p>
    <w:p>
      <w:pPr>
        <w:ind w:firstLine="3420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rFonts w:eastAsia="Arial Unicode MS"/>
          <w:color w:val="000000"/>
        </w:rPr>
        <w:t xml:space="preserve"> </w:t>
      </w:r>
      <w:r>
        <w:rPr>
          <w:b/>
          <w:bCs/>
        </w:rPr>
        <w:t xml:space="preserve"> НЕЗАВИСИМАЯ ГАРАНТИЯ № ___</w:t>
      </w:r>
      <w:r>
        <w:rPr>
          <w:b/>
          <w:bCs/>
        </w:rPr>
        <w:t xml:space="preserve">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</w:pPr>
      <w:r>
        <w:t xml:space="preserve">г.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«___»__________20__ г.</w:t>
      </w:r>
      <w:r/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after="0"/>
        <w:widowControl w:val="off"/>
        <w:rPr>
          <w:i/>
        </w:rPr>
      </w:pPr>
      <w:r>
        <w:rPr>
          <w:bCs/>
        </w:rPr>
        <w:t xml:space="preserve"> </w:t>
      </w:r>
      <w:r>
        <w:t xml:space="preserve">Мы информированы о том, что________________________ </w:t>
      </w:r>
      <w:r>
        <w:rPr>
          <w:i/>
        </w:rPr>
        <w:t xml:space="preserve">(</w:t>
      </w:r>
      <w:r>
        <w:rPr>
          <w:bCs/>
          <w:i/>
        </w:rPr>
        <w:t xml:space="preserve">наименование, ИНН</w:t>
      </w:r>
      <w:r>
        <w:rPr>
          <w:bCs/>
        </w:rPr>
        <w:t xml:space="preserve">), </w:t>
      </w:r>
      <w:r>
        <w:t xml:space="preserve">именуемое в дальнейшем «Принципал», намерен участвовать в закупке на ___________________________________ </w:t>
      </w:r>
      <w:r>
        <w:rPr>
          <w:i/>
        </w:rPr>
        <w:t xml:space="preserve">(предмет закупки)</w:t>
      </w:r>
      <w:r>
        <w:t xml:space="preserve">, пр</w:t>
      </w:r>
      <w:r>
        <w:t xml:space="preserve">оводимой </w:t>
      </w:r>
      <w:r>
        <w:rPr>
          <w:bCs/>
        </w:rPr>
        <w:t xml:space="preserve">_____________________ (</w:t>
      </w:r>
      <w:r>
        <w:rPr>
          <w:bCs/>
          <w:i/>
        </w:rPr>
        <w:t xml:space="preserve">наименование бенефициара,</w:t>
      </w:r>
      <w:r>
        <w:rPr>
          <w:i/>
        </w:rPr>
        <w:t xml:space="preserve"> ИНН)</w:t>
      </w:r>
      <w:r>
        <w:t xml:space="preserve">, именуемым в дальнейшем «Бенефициар»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709"/>
        <w:spacing w:after="0"/>
        <w:widowControl w:val="off"/>
      </w:pPr>
      <w:r>
        <w:t xml:space="preserve"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</w:t>
      </w:r>
      <w:r>
        <w:t xml:space="preserve">_________________________</w:t>
      </w:r>
      <w:r>
        <w:rPr>
          <w:i/>
        </w:rPr>
        <w:t xml:space="preserve"> (сумма цифрами и прописью</w:t>
      </w:r>
      <w:r>
        <w:t xml:space="preserve">).</w:t>
      </w:r>
      <w:r/>
    </w:p>
    <w:p>
      <w:pPr>
        <w:ind w:firstLine="709"/>
        <w:spacing w:after="0"/>
        <w:widowControl w:val="off"/>
        <w:tabs>
          <w:tab w:val="left" w:pos="1080" w:leader="none"/>
          <w:tab w:val="left" w:pos="9180" w:leader="none"/>
        </w:tabs>
      </w:pPr>
      <w:r>
        <w:t xml:space="preserve">Учитывая вышеизложенное, по просьбе Принципала, мы, _________________________________ (</w:t>
      </w:r>
      <w:r>
        <w:rPr>
          <w:i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</w:rPr>
        <w:t xml:space="preserve">/иных документов, подтверждающих наличие у гаранта права на выдачу независимых гарантий</w:t>
      </w:r>
      <w:r>
        <w:rPr>
          <w:rStyle w:val="1429"/>
        </w:rPr>
        <w:footnoteReference w:id="25"/>
      </w:r>
      <w:r>
        <w:rPr>
          <w:rStyle w:val="1429"/>
        </w:rPr>
        <w:t xml:space="preserve">1</w:t>
      </w:r>
      <w:r>
        <w:t xml:space="preserve">), в лице </w:t>
      </w:r>
      <w:r>
        <w:rPr>
          <w:i/>
        </w:rPr>
        <w:t xml:space="preserve">_____________(Ф.И.О. уполномоченного действовать от имени гаранта лица</w:t>
      </w:r>
      <w:r>
        <w:t xml:space="preserve">), действующего на основании _____________ (</w:t>
      </w:r>
      <w:r>
        <w:rPr>
          <w:i/>
        </w:rPr>
        <w:t xml:space="preserve">реквизиты доверенности)</w:t>
      </w:r>
      <w:r>
        <w:t xml:space="preserve">, именуемый в дальне</w:t>
      </w:r>
      <w:r>
        <w:t xml:space="preserve">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</w:rPr>
        <w:t xml:space="preserve">(сумма цифрами и прописью</w:t>
      </w:r>
      <w:r>
        <w:t xml:space="preserve">), в случае:</w:t>
      </w:r>
      <w:r/>
    </w:p>
    <w:p>
      <w:pPr>
        <w:pStyle w:val="1539"/>
        <w:numPr>
          <w:ilvl w:val="0"/>
          <w:numId w:val="93"/>
        </w:numPr>
        <w:ind w:left="0" w:firstLine="709"/>
        <w:jc w:val="both"/>
      </w:pPr>
      <w:r>
        <w:t xml:space="preserve"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</w:t>
      </w:r>
      <w:r>
        <w:t xml:space="preserve">ования обеспечения исполнения договора и срок его предоставления до заключения договора);</w:t>
      </w:r>
      <w:r/>
    </w:p>
    <w:p>
      <w:pPr>
        <w:pStyle w:val="1539"/>
        <w:numPr>
          <w:ilvl w:val="0"/>
          <w:numId w:val="93"/>
        </w:numPr>
        <w:ind w:left="0" w:firstLine="709"/>
        <w:jc w:val="both"/>
      </w:pPr>
      <w:r>
        <w:t xml:space="preserve">уклонения или отказа участника закупки от заключения договора</w:t>
      </w:r>
      <w:r/>
    </w:p>
    <w:p>
      <w:pPr>
        <w:ind w:firstLine="709"/>
        <w:spacing w:after="0"/>
        <w:widowControl w:val="off"/>
        <w:tabs>
          <w:tab w:val="left" w:pos="1080" w:leader="none"/>
        </w:tabs>
      </w:pPr>
      <w:r>
        <w:t xml:space="preserve">без споров и возражений с нашей стороны, не требуя от Бенефициара доказательств или обоснований требован</w:t>
      </w:r>
      <w:r>
        <w:t xml:space="preserve">ия на определенную в настоящей независимой гарантии сумму.</w:t>
      </w:r>
      <w:r/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За неисполнение принятых обязательств по независимой гарантии Г</w:t>
      </w:r>
      <w:r>
        <w:rPr>
          <w:rFonts w:eastAsia="Arial Unicode MS"/>
          <w:color w:val="000000"/>
        </w:rPr>
        <w:t xml:space="preserve">арант несет ответственность, предусмотренную законодательством Российской Федерации.</w:t>
      </w:r>
      <w:r>
        <w:tab/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tabs>
          <w:tab w:val="left" w:pos="1080" w:leader="none"/>
        </w:tabs>
      </w:pPr>
      <w:r>
        <w:rPr>
          <w:bCs/>
        </w:rPr>
        <w:t xml:space="preserve">Настоящая независимая гарантия вступает в силу с _________20___года и действует по __________20___года (включительно). </w:t>
      </w:r>
      <w:r/>
    </w:p>
    <w:p>
      <w:pPr>
        <w:ind w:firstLine="709"/>
        <w:spacing w:after="0"/>
        <w:widowControl w:val="off"/>
      </w:pPr>
      <w:r>
        <w:rPr>
          <w:bCs/>
        </w:rPr>
        <w:t xml:space="preserve">Письменное требование платежа </w:t>
      </w:r>
      <w:r>
        <w:t xml:space="preserve">должно быть направле</w:t>
      </w:r>
      <w:r>
        <w:t xml:space="preserve">но </w:t>
      </w:r>
      <w:r>
        <w:rPr>
          <w:bCs/>
        </w:rPr>
        <w:t xml:space="preserve">Гаранту до 24 часов 00 минут «______» _________ (включительно) </w:t>
      </w:r>
      <w:r>
        <w:t xml:space="preserve">по адресу: </w:t>
      </w:r>
      <w:r>
        <w:rPr>
          <w:bCs/>
        </w:rPr>
        <w:t xml:space="preserve">__________________________</w:t>
      </w:r>
      <w:r>
        <w:t xml:space="preserve"> </w:t>
      </w:r>
      <w:r>
        <w:rPr>
          <w:bCs/>
        </w:rPr>
        <w:t xml:space="preserve">посредством почтовой связи либо передано нарочным непосредственно по адресу: _______________________.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Гарант по получении от Бенефициара письменного тре</w:t>
      </w:r>
      <w:r>
        <w:rPr>
          <w:bCs/>
        </w:rPr>
        <w:t xml:space="preserve">бования о выплате денежной суммы</w:t>
      </w:r>
      <w:r>
        <w:rPr>
          <w:rFonts w:eastAsia="Arial Unicode MS"/>
          <w:color w:val="000000"/>
        </w:rPr>
        <w:t xml:space="preserve"> по настоящей независимой гарантии</w:t>
      </w:r>
      <w:r>
        <w:rPr>
          <w:bCs/>
        </w:rPr>
        <w:t xml:space="preserve">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</w:t>
      </w:r>
      <w:r>
        <w:rPr>
          <w:bCs/>
        </w:rPr>
        <w:t xml:space="preserve">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</w:pPr>
      <w:r>
        <w:rPr>
          <w:bCs/>
        </w:rPr>
        <w:t xml:space="preserve">Гарантия</w:t>
      </w:r>
      <w:r>
        <w:rPr>
          <w:bCs/>
        </w:rPr>
        <w:t xml:space="preserve"> не может быть отозвана Гарантом. Передача права требования по настоящей гарантии не допускается.</w:t>
      </w:r>
      <w:r>
        <w:t xml:space="preserve"> 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</w:t>
      </w:r>
      <w:r>
        <w:rPr>
          <w:bCs/>
        </w:rPr>
        <w:t xml:space="preserve">го документа - Изменения к независимой гарантии. 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bCs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</w:t>
      </w:r>
      <w:r>
        <w:rPr>
          <w:bCs/>
        </w:rPr>
        <w:t xml:space="preserve">Гарантом, если иной момент вступления их в силу не определен в таких изменениях.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</w:t>
      </w:r>
      <w:r>
        <w:t xml:space="preserve">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ind w:firstLine="709"/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</w:t>
      </w:r>
      <w:r>
        <w:t xml:space="preserve">дерации. </w:t>
      </w:r>
      <w:r/>
    </w:p>
    <w:p>
      <w:pPr>
        <w:ind w:firstLine="709"/>
        <w:spacing w:after="0"/>
        <w:widowControl w:val="off"/>
      </w:pPr>
      <w: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</w:t>
      </w:r>
      <w:r>
        <w:rPr>
          <w:rFonts w:eastAsia="Calibri"/>
          <w:lang w:eastAsia="en-US"/>
        </w:rPr>
        <w:t xml:space="preserve">Арбитражном суде </w:t>
      </w:r>
      <w:r>
        <w:rPr>
          <w:rFonts w:eastAsia="Arial Unicode MS"/>
          <w:lang w:eastAsia="en-US"/>
        </w:rPr>
        <w:t xml:space="preserve">_________ </w:t>
      </w:r>
      <w:r>
        <w:rPr>
          <w:rFonts w:eastAsia="Calibri"/>
          <w:i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Arial Unicode MS"/>
          <w:lang w:eastAsia="en-US"/>
        </w:rPr>
        <w:t xml:space="preserve">.</w:t>
      </w:r>
      <w:r/>
    </w:p>
    <w:p>
      <w:pPr>
        <w:spacing w:after="0"/>
        <w:widowControl w:val="off"/>
        <w:tabs>
          <w:tab w:val="left" w:pos="1080" w:leader="none"/>
        </w:tabs>
      </w:pPr>
      <w:r/>
      <w:r/>
    </w:p>
    <w:p>
      <w:pPr>
        <w:spacing w:after="0"/>
        <w:widowControl w:val="off"/>
        <w:tabs>
          <w:tab w:val="left" w:pos="1080" w:leader="none"/>
        </w:tabs>
        <w:rPr>
          <w:sz w:val="28"/>
          <w:szCs w:val="28"/>
        </w:rPr>
      </w:pPr>
      <w:r>
        <w:t xml:space="preserve">Подписи уполномочен</w:t>
      </w:r>
      <w:r>
        <w:t xml:space="preserve">ных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Типовая форма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spacing w:after="0"/>
        <w:widowControl w:val="off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</w:rPr>
      </w:r>
      <w:r>
        <w:rPr>
          <w:rFonts w:eastAsia="Calibri"/>
          <w:b/>
          <w:bCs/>
          <w:i/>
        </w:rPr>
      </w:r>
    </w:p>
    <w:p>
      <w:pPr>
        <w:ind w:left="4962"/>
        <w:spacing w:after="0"/>
        <w:widowControl w:val="off"/>
        <w:rPr>
          <w:rFonts w:eastAsia="Calibri"/>
          <w:b/>
        </w:rPr>
      </w:pP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НЕЗАВИСИМАЯ ГАРАНТИЯ № ______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left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«___»___________20__ г.</w:t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Calibri"/>
          <w:bCs/>
          <w:lang w:eastAsia="en-US"/>
        </w:rPr>
        <w:t xml:space="preserve"> _____________________ (</w:t>
      </w:r>
      <w:r>
        <w:rPr>
          <w:rFonts w:eastAsia="Calibri"/>
          <w:bCs/>
          <w:i/>
          <w:lang w:eastAsia="en-US"/>
        </w:rPr>
        <w:t xml:space="preserve"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>
        <w:rPr>
          <w:rFonts w:eastAsia="Calibri"/>
          <w:bCs/>
          <w:i/>
          <w:vertAlign w:val="superscript"/>
          <w:lang w:eastAsia="en-US"/>
        </w:rPr>
        <w:footnoteReference w:id="26"/>
      </w:r>
      <w:r>
        <w:rPr>
          <w:rFonts w:eastAsia="Calibri"/>
          <w:bCs/>
          <w:i/>
          <w:vertAlign w:val="superscript"/>
          <w:lang w:eastAsia="en-US"/>
        </w:rPr>
        <w:t xml:space="preserve">1</w:t>
      </w:r>
      <w:r>
        <w:rPr>
          <w:rFonts w:eastAsia="Calibri"/>
          <w:bCs/>
          <w:i/>
          <w:lang w:eastAsia="en-US"/>
        </w:rPr>
        <w:t xml:space="preserve">),</w:t>
      </w:r>
      <w:r>
        <w:rPr>
          <w:rFonts w:eastAsia="Calibri"/>
          <w:bCs/>
          <w:lang w:eastAsia="en-US"/>
        </w:rPr>
        <w:t xml:space="preserve"> именуемое в дальнейшем «Гарант», в лице _______________________________</w:t>
      </w:r>
      <w:r>
        <w:rPr>
          <w:rFonts w:eastAsia="Calibri"/>
          <w:bCs/>
          <w:lang w:eastAsia="en-US"/>
        </w:rPr>
        <w:t xml:space="preserve">______ (</w:t>
      </w:r>
      <w:r>
        <w:rPr>
          <w:rFonts w:eastAsia="Calibri"/>
          <w:bCs/>
          <w:i/>
          <w:lang w:eastAsia="en-US"/>
        </w:rPr>
        <w:t xml:space="preserve">Ф.И.О. уполномоченного действовать от имени гаранта лица),</w:t>
      </w:r>
      <w:r>
        <w:rPr>
          <w:rFonts w:eastAsia="Calibri"/>
          <w:bCs/>
          <w:lang w:eastAsia="en-US"/>
        </w:rPr>
        <w:t xml:space="preserve"> действующего на основании ______________________________</w:t>
      </w:r>
      <w:r>
        <w:rPr>
          <w:rFonts w:eastAsia="Calibri"/>
          <w:bCs/>
          <w:i/>
          <w:lang w:eastAsia="en-US"/>
        </w:rPr>
        <w:t xml:space="preserve">(дата, номер доверенности), </w:t>
      </w:r>
      <w:r>
        <w:rPr>
          <w:rFonts w:eastAsia="Arial Unicode MS"/>
          <w:lang w:eastAsia="en-US"/>
        </w:rPr>
        <w:t xml:space="preserve">настоящим принимает на себя безусловное и безотзывное обязательство уплатить </w:t>
      </w:r>
      <w:r>
        <w:rPr>
          <w:rFonts w:eastAsia="Calibri"/>
          <w:bCs/>
          <w:lang w:eastAsia="en-US"/>
        </w:rPr>
        <w:t xml:space="preserve">_____________________ (</w:t>
      </w:r>
      <w:r>
        <w:rPr>
          <w:rFonts w:eastAsia="Calibri"/>
          <w:bCs/>
          <w:i/>
          <w:lang w:eastAsia="en-US"/>
        </w:rPr>
        <w:t xml:space="preserve">наиме</w:t>
      </w:r>
      <w:r>
        <w:rPr>
          <w:rFonts w:eastAsia="Calibri"/>
          <w:bCs/>
          <w:i/>
          <w:lang w:eastAsia="en-US"/>
        </w:rPr>
        <w:t xml:space="preserve">нование бенефициара, </w:t>
      </w:r>
      <w:r>
        <w:rPr>
          <w:rFonts w:eastAsia="Arial Unicode MS"/>
          <w:i/>
          <w:lang w:eastAsia="en-US"/>
        </w:rPr>
        <w:t xml:space="preserve">ОГРН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ИНН)</w:t>
      </w:r>
      <w:r>
        <w:rPr>
          <w:rFonts w:eastAsia="Arial Unicode MS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Arial Unicode MS"/>
          <w:i/>
          <w:lang w:eastAsia="en-US"/>
        </w:rPr>
        <w:t xml:space="preserve">(сумма цифрами и прописью),</w:t>
      </w:r>
      <w:r>
        <w:rPr>
          <w:rFonts w:eastAsia="Arial Unicode MS"/>
          <w:lang w:eastAsia="en-US"/>
        </w:rPr>
        <w:t xml:space="preserve"> по получении письменного требования Бенефициара, указывающего, что __________________</w:t>
      </w:r>
      <w:r>
        <w:rPr>
          <w:rFonts w:eastAsia="Arial Unicode MS"/>
          <w:lang w:eastAsia="en-US"/>
        </w:rPr>
        <w:t xml:space="preserve">_ </w:t>
      </w:r>
      <w:r>
        <w:rPr>
          <w:rFonts w:eastAsia="Arial Unicode MS"/>
          <w:i/>
          <w:lang w:eastAsia="en-US"/>
        </w:rPr>
        <w:t xml:space="preserve">(наименование, ИНН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ОГРН)</w:t>
      </w:r>
      <w:r>
        <w:rPr>
          <w:rFonts w:eastAsia="Arial Unicode MS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Arial Unicode MS"/>
          <w:i/>
          <w:lang w:eastAsia="en-US"/>
        </w:rPr>
        <w:t xml:space="preserve">по договору, который будет заключен по результатам определения поставщика (подрядчика, исполнит</w:t>
      </w:r>
      <w:r>
        <w:rPr>
          <w:rFonts w:eastAsia="Arial Unicode MS"/>
          <w:i/>
          <w:lang w:eastAsia="en-US"/>
        </w:rPr>
        <w:t xml:space="preserve">еля) (номер извещения в единой информационной системе в сфере закупок _______, протокол подведения итогов закупочной процедуры от ___ (указывается дата подписания либо более поздняя из дат указанная в протоколе) №___ )*,</w:t>
      </w:r>
      <w:r>
        <w:rPr>
          <w:rFonts w:eastAsia="Arial Unicode MS"/>
          <w:lang w:eastAsia="en-US"/>
        </w:rPr>
        <w:t xml:space="preserve"> без споров и возражений со стороны </w:t>
      </w:r>
      <w:r>
        <w:rPr>
          <w:rFonts w:eastAsia="Arial Unicode MS"/>
          <w:lang w:eastAsia="en-US"/>
        </w:rPr>
        <w:t xml:space="preserve">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*Примечание: 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заключения договора на основании решения (указать наименование закупочного органа бенефициара) текст</w:t>
      </w:r>
      <w:r>
        <w:rPr>
          <w:rFonts w:eastAsia="Arial Unicode MS"/>
          <w:i/>
          <w:lang w:eastAsia="en-US"/>
        </w:rPr>
        <w:t xml:space="preserve">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</w:t>
      </w:r>
      <w:r>
        <w:rPr>
          <w:rFonts w:eastAsia="Arial Unicode MS"/>
          <w:i/>
          <w:lang w:eastAsia="en-US"/>
        </w:rPr>
        <w:br/>
        <w:t xml:space="preserve">№ ____)</w:t>
      </w:r>
      <w:r>
        <w:rPr>
          <w:rFonts w:eastAsia="Arial Unicode MS"/>
          <w:i/>
          <w:lang w:eastAsia="en-US"/>
        </w:rPr>
        <w:t xml:space="preserve">»;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</w:t>
      </w:r>
      <w:r>
        <w:rPr>
          <w:rFonts w:eastAsia="Arial Unicode MS"/>
          <w:i/>
          <w:lang w:eastAsia="en-US"/>
        </w:rPr>
        <w:t xml:space="preserve">ор».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</w:t>
      </w:r>
      <w:r>
        <w:rPr>
          <w:rFonts w:eastAsia="Arial Unicode MS"/>
          <w:lang w:eastAsia="en-US"/>
        </w:rPr>
        <w:t xml:space="preserve">ельством Российской Федерации.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</w:t>
      </w:r>
      <w:r>
        <w:rPr>
          <w:rFonts w:eastAsia="Arial Unicode MS"/>
          <w:lang w:eastAsia="en-US"/>
        </w:rPr>
        <w:t xml:space="preserve">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</w:t>
      </w:r>
      <w:r>
        <w:rPr>
          <w:rFonts w:eastAsia="Arial Unicode MS"/>
          <w:lang w:eastAsia="en-US"/>
        </w:rPr>
        <w:t xml:space="preserve">ды, возникающие в связи с перечислением денежных средств, несет Гарант.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Настоящая гарантия вступает в силу с _________20___года ** и действует по ____</w:t>
      </w:r>
      <w:r>
        <w:rPr>
          <w:rFonts w:eastAsia="Arial Unicode MS"/>
          <w:lang w:eastAsia="en-US"/>
        </w:rPr>
        <w:t xml:space="preserve">_____20___года (включительно).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</w:t>
      </w:r>
      <w:r>
        <w:rPr>
          <w:rFonts w:eastAsia="Arial Unicode MS"/>
          <w:lang w:eastAsia="en-US"/>
        </w:rPr>
        <w:t xml:space="preserve">_________.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</w:t>
      </w:r>
      <w:r>
        <w:rPr>
          <w:rFonts w:eastAsia="Arial Unicode MS"/>
          <w:i/>
          <w:lang w:eastAsia="en-US"/>
        </w:rPr>
        <w:t xml:space="preserve">, следующая за датой окончания предыдущей независимой гарантии.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Calibri"/>
          <w:bCs/>
        </w:rPr>
      </w:pPr>
      <w:r>
        <w:rPr>
          <w:rFonts w:eastAsia="Calibri"/>
          <w:bCs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bCs/>
          <w:lang w:eastAsia="en-US"/>
        </w:rPr>
        <w:t xml:space="preserve">Письменное согласие Бенефициара на изменение соот</w:t>
      </w:r>
      <w:r>
        <w:rPr>
          <w:rFonts w:eastAsia="Calibri"/>
          <w:bCs/>
          <w:lang w:eastAsia="en-US"/>
        </w:rPr>
        <w:t xml:space="preserve">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передает св</w:t>
      </w:r>
      <w:r>
        <w:rPr>
          <w:rFonts w:eastAsia="Arial Unicode MS"/>
          <w:lang w:eastAsia="en-US"/>
        </w:rPr>
        <w:t xml:space="preserve">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</w:t>
      </w:r>
      <w:r>
        <w:rPr>
          <w:rFonts w:eastAsia="Arial Unicode MS"/>
          <w:lang w:eastAsia="en-US"/>
        </w:rPr>
        <w:t xml:space="preserve">ние, в соответствии с требованиями ч. 3.1 и ч. 4 ст. 5 указанного Закона.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lang w:eastAsia="en-US"/>
        </w:rPr>
        <w:t xml:space="preserve">Все споры, возникающие в связи с действительностью, толкованием или исполнением настояще</w:t>
      </w:r>
      <w:r>
        <w:rPr>
          <w:rFonts w:eastAsia="Calibri"/>
          <w:lang w:eastAsia="en-US"/>
        </w:rPr>
        <w:t xml:space="preserve">й независимой гарантии, подлежат рассмотрению в Арбитражном суде _________ (указывается арбитражный суд по месту нахождения бенефициара).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Подписи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уполномоченных</w:t>
      </w:r>
      <w:r>
        <w:rPr>
          <w:rFonts w:eastAsia="Calibri"/>
          <w:bCs/>
          <w:lang w:eastAsia="en-US"/>
        </w:rPr>
        <w:t xml:space="preserve"> лиц</w:t>
      </w:r>
      <w:r>
        <w:rPr>
          <w:rFonts w:eastAsia="Calibri"/>
          <w:bCs/>
          <w:sz w:val="28"/>
          <w:szCs w:val="28"/>
          <w:lang w:eastAsia="en-US"/>
        </w:rPr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id="27"/>
      </w:r>
      <w:r>
        <w:rPr>
          <w:b/>
          <w:bCs/>
          <w:vertAlign w:val="superscript"/>
        </w:rPr>
        <w:t xml:space="preserve">*****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независимой(ых) гарантии(й)/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Поставщик/Исполнитель (указать в </w:t>
      </w:r>
      <w:r>
        <w:rPr>
          <w:rFonts w:eastAsia="Calibri"/>
          <w:lang w:eastAsia="en-US"/>
        </w:rPr>
        <w:t xml:space="preserve">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«Россети Янтарь» (АО «Россети Янтарь»), именуемое в дальнейшем Покупатель/Заказ</w:t>
      </w:r>
      <w:r>
        <w:rPr>
          <w:rFonts w:eastAsia="Calibri"/>
          <w:lang w:eastAsia="en-US"/>
        </w:rPr>
        <w:t xml:space="preserve">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</w:t>
      </w:r>
      <w:r>
        <w:rPr>
          <w:rFonts w:eastAsia="Calibri"/>
          <w:lang w:eastAsia="en-US"/>
        </w:rPr>
        <w:t xml:space="preserve">мой(ых)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независимую(ые)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578"/>
        <w:tblW w:w="107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559"/>
        <w:gridCol w:w="1530"/>
        <w:gridCol w:w="1134"/>
        <w:gridCol w:w="850"/>
        <w:gridCol w:w="1134"/>
        <w:gridCol w:w="1559"/>
        <w:gridCol w:w="1242"/>
      </w:tblGrid>
      <w:tr>
        <w:tblPrEx/>
        <w:trPr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случае приема-переда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85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0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независимой(ых) гарантии(й)/изменения №__ к независимой гарантии является дата подписания настоящего Акта приема-передачи независимой(ых) гарантии(й)/изменения №__ к независимой гарантии.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578"/>
        <w:tblW w:w="100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«Россети Янтарь»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 (WT)">
    <w:panose1 w:val="020B0604020202020204"/>
  </w:font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206060605050902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33"/>
      <w:rPr>
        <w:rStyle w:val="1432"/>
      </w:rPr>
      <w:framePr w:wrap="auto" w:vAnchor="text" w:hAnchor="margin" w:xAlign="right" w:y="1"/>
    </w:pPr>
    <w:r>
      <w:rPr>
        <w:rStyle w:val="1432"/>
      </w:rPr>
      <w:fldChar w:fldCharType="begin"/>
    </w:r>
    <w:r>
      <w:rPr>
        <w:rStyle w:val="1432"/>
      </w:rPr>
      <w:instrText xml:space="preserve">PAGE  </w:instrText>
    </w:r>
    <w:r>
      <w:rPr>
        <w:rStyle w:val="1432"/>
      </w:rPr>
      <w:fldChar w:fldCharType="separate"/>
    </w:r>
    <w:r>
      <w:rPr>
        <w:rStyle w:val="1432"/>
      </w:rPr>
      <w:t xml:space="preserve">12</w:t>
    </w:r>
    <w:r>
      <w:rPr>
        <w:rStyle w:val="1432"/>
      </w:rPr>
      <w:fldChar w:fldCharType="end"/>
    </w:r>
    <w:r>
      <w:rPr>
        <w:rStyle w:val="1432"/>
      </w:rPr>
    </w:r>
    <w:r>
      <w:rPr>
        <w:rStyle w:val="1432"/>
      </w:rPr>
    </w:r>
  </w:p>
  <w:p>
    <w:pPr>
      <w:pStyle w:val="1433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33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43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430"/>
        <w:spacing w:after="0"/>
      </w:pPr>
      <w:r>
        <w:rPr>
          <w:rStyle w:val="1585"/>
          <w:sz w:val="28"/>
          <w:szCs w:val="28"/>
          <w:vertAlign w:val="superscript"/>
        </w:rPr>
        <w:t xml:space="preserve">1</w:t>
      </w:r>
      <w:r>
        <w:rPr>
          <w:rStyle w:val="1586"/>
        </w:rPr>
        <w:t xml:space="preserve"> Данные о наличии лицензии могут быть проверены на официальном сайте Банка России по адресу </w:t>
      </w:r>
      <w:hyperlink r:id="rId1" w:tooltip="http://www.cbr.ru/credit/." w:history="1">
        <w:r>
          <w:rPr>
            <w:rStyle w:val="1446"/>
          </w:rPr>
          <w:t xml:space="preserve">http://www.cbr.ru/credit/.</w:t>
        </w:r>
      </w:hyperlink>
      <w:r>
        <w:rPr>
          <w:rStyle w:val="1586"/>
        </w:rPr>
        <w:t xml:space="preserve"> </w:t>
      </w:r>
      <w:r/>
    </w:p>
  </w:footnote>
  <w:footnote w:id="3">
    <w:p>
      <w:pPr>
        <w:pStyle w:val="1430"/>
        <w:spacing w:after="0"/>
      </w:pPr>
      <w:r>
        <w:rPr>
          <w:rStyle w:val="1585"/>
          <w:sz w:val="28"/>
          <w:szCs w:val="28"/>
          <w:vertAlign w:val="superscript"/>
        </w:rPr>
        <w:t xml:space="preserve">2</w:t>
      </w:r>
      <w:r>
        <w:rPr>
          <w:rStyle w:val="1586"/>
        </w:rPr>
        <w:t xml:space="preserve"> В частности, запрет или ограничение на прием вкладов от физ</w:t>
      </w:r>
      <w:r>
        <w:rPr>
          <w:rStyle w:val="1586"/>
        </w:rPr>
        <w:t xml:space="preserve">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." w:history="1">
        <w:r>
          <w:rPr>
            <w:rStyle w:val="1446"/>
          </w:rPr>
          <w:t xml:space="preserve">https://www.cbr.ru/analytics/strfo</w:t>
        </w:r>
        <w:r>
          <w:rPr>
            <w:rStyle w:val="1446"/>
          </w:rPr>
          <w:t xml:space="preserve">rm/.</w:t>
        </w:r>
      </w:hyperlink>
      <w:r>
        <w:rPr>
          <w:rStyle w:val="1586"/>
        </w:rPr>
        <w:t xml:space="preserve"> </w:t>
      </w:r>
      <w:r/>
    </w:p>
  </w:footnote>
  <w:footnote w:id="4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30"/>
        <w:spacing w:after="0"/>
      </w:pPr>
      <w:r>
        <w:t xml:space="preserve">Данн</w:t>
      </w:r>
      <w:r>
        <w:t xml:space="preserve">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rPr>
            <w:rStyle w:val="1446"/>
          </w:rPr>
          <w:t xml:space="preserve">ht</w:t>
        </w:r>
        <w:r>
          <w:rPr>
            <w:rStyle w:val="1446"/>
          </w:rPr>
          <w:t xml:space="preserve">tp://www.asv.org.ru/guide/bank/</w:t>
        </w:r>
      </w:hyperlink>
      <w:r>
        <w:t xml:space="preserve"> или Банка России по адресу </w:t>
      </w:r>
      <w:hyperlink r:id="rId4" w:tooltip="http://www.cbr.ru/credit/." w:history="1">
        <w:r>
          <w:rPr>
            <w:rStyle w:val="1446"/>
          </w:rPr>
          <w:t xml:space="preserve">http://www.cbr.ru/credit/.</w:t>
        </w:r>
      </w:hyperlink>
      <w:r>
        <w:t xml:space="preserve"> </w:t>
      </w:r>
      <w:r/>
    </w:p>
  </w:footnote>
  <w:footnote w:id="5">
    <w:p>
      <w:pPr>
        <w:pStyle w:val="1430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6">
    <w:p>
      <w:pPr>
        <w:pStyle w:val="1430"/>
        <w:spacing w:after="0"/>
      </w:pPr>
      <w:r>
        <w:rPr>
          <w:rStyle w:val="1429"/>
        </w:rPr>
        <w:t xml:space="preserve">5</w:t>
      </w:r>
      <w:r>
        <w:t xml:space="preserve"> Для банков с долей Российской </w:t>
      </w:r>
      <w:r>
        <w:t xml:space="preserve">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России принято решение о гарантировании непрерывности деятельности, ограничения п</w:t>
      </w:r>
      <w:r>
        <w:t xml:space="preserve">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7">
    <w:p>
      <w:pPr>
        <w:pStyle w:val="1430"/>
        <w:spacing w:after="0"/>
      </w:pPr>
      <w:r>
        <w:rPr>
          <w:rStyle w:val="1429"/>
        </w:rPr>
        <w:t xml:space="preserve">6</w:t>
      </w:r>
      <w:r>
        <w:t xml:space="preserve"> Собственный капитал банка для целей настоящего Распоряжения принимаются в с</w:t>
      </w:r>
      <w:r>
        <w:t xml:space="preserve">оответствии с данными отчетности банка, в том числе, публикуемыми на официальном сайте Банка России по адресу </w:t>
      </w:r>
      <w:hyperlink r:id="rId5" w:tooltip="http://www.cbr.ru/credit/" w:history="1">
        <w:r>
          <w:rPr>
            <w:rStyle w:val="1446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8">
    <w:p>
      <w:pPr>
        <w:pStyle w:val="1430"/>
      </w:pPr>
      <w:r>
        <w:rPr>
          <w:rStyle w:val="1585"/>
          <w:vertAlign w:val="superscript"/>
        </w:rPr>
        <w:t xml:space="preserve">8</w:t>
      </w:r>
      <w:r>
        <w:rPr>
          <w:rStyle w:val="1586"/>
        </w:rPr>
        <w:t xml:space="preserve"> В</w:t>
      </w:r>
      <w:r>
        <w:rPr>
          <w:rStyle w:val="1586"/>
        </w:rPr>
        <w:t xml:space="preserve">ключенными в реестр кредитных рейтинговых агентств Центрального банка России. Размещен на сайте ЦБ РФ. </w:t>
      </w:r>
      <w:r>
        <w:rPr>
          <w:rStyle w:val="1587"/>
        </w:rPr>
        <w:t xml:space="preserve">https://cbr.ru.</w:t>
      </w:r>
      <w:r/>
    </w:p>
  </w:footnote>
  <w:footnote w:id="9">
    <w:p>
      <w:pPr>
        <w:pStyle w:val="1430"/>
      </w:pPr>
      <w:r>
        <w:rPr>
          <w:rStyle w:val="1585"/>
          <w:vertAlign w:val="superscript"/>
        </w:rPr>
        <w:t xml:space="preserve">9</w:t>
      </w:r>
      <w:r>
        <w:rPr>
          <w:rStyle w:val="1586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0">
    <w:p>
      <w:pPr>
        <w:pStyle w:val="1430"/>
        <w:spacing w:after="0"/>
      </w:pPr>
      <w:r>
        <w:rPr>
          <w:rStyle w:val="1585"/>
          <w:sz w:val="28"/>
          <w:szCs w:val="28"/>
          <w:vertAlign w:val="superscript"/>
        </w:rPr>
        <w:t xml:space="preserve">1</w:t>
      </w:r>
      <w:r>
        <w:rPr>
          <w:rStyle w:val="1586"/>
        </w:rPr>
        <w:t xml:space="preserve"> Данные о</w:t>
      </w:r>
      <w:r>
        <w:rPr>
          <w:rStyle w:val="1586"/>
        </w:rPr>
        <w:t xml:space="preserve"> наличии лицензии могут быть проверены на официальном сайте Банка России по адресу </w:t>
      </w:r>
      <w:hyperlink r:id="rId6" w:tooltip="http://www.cbr.ru/credit/." w:history="1">
        <w:r>
          <w:rPr>
            <w:rStyle w:val="1446"/>
          </w:rPr>
          <w:t xml:space="preserve">http://www.cbr.ru/credit/.</w:t>
        </w:r>
      </w:hyperlink>
      <w:r>
        <w:rPr>
          <w:rStyle w:val="1586"/>
        </w:rPr>
        <w:t xml:space="preserve"> </w:t>
      </w:r>
      <w:r/>
    </w:p>
  </w:footnote>
  <w:footnote w:id="11">
    <w:p>
      <w:pPr>
        <w:pStyle w:val="1430"/>
        <w:spacing w:after="0"/>
      </w:pPr>
      <w:r>
        <w:rPr>
          <w:rStyle w:val="1585"/>
          <w:sz w:val="28"/>
          <w:szCs w:val="28"/>
          <w:vertAlign w:val="superscript"/>
        </w:rPr>
        <w:t xml:space="preserve">2</w:t>
      </w:r>
      <w:r>
        <w:rPr>
          <w:rStyle w:val="1586"/>
        </w:rPr>
        <w:t xml:space="preserve"> В частности, запрет или ограничение на прием вкладов от физических л</w:t>
      </w:r>
      <w:r>
        <w:rPr>
          <w:rStyle w:val="1586"/>
        </w:rPr>
        <w:t xml:space="preserve">иц, если такая информация опубликована в официальных источниках и/или на официальном сайте Банка России по адресу </w:t>
      </w:r>
      <w:hyperlink r:id="rId7" w:tooltip="https://www.cbr.ru/analytics/strform/." w:history="1">
        <w:r>
          <w:rPr>
            <w:rStyle w:val="1446"/>
          </w:rPr>
          <w:t xml:space="preserve">https://www.cbr.ru/analytics/strform/.</w:t>
        </w:r>
      </w:hyperlink>
      <w:r>
        <w:rPr>
          <w:rStyle w:val="1586"/>
        </w:rPr>
        <w:t xml:space="preserve"> </w:t>
      </w:r>
      <w:r/>
    </w:p>
  </w:footnote>
  <w:footnote w:id="12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</w:t>
      </w:r>
      <w:r>
        <w:rPr>
          <w:sz w:val="20"/>
          <w:szCs w:val="20"/>
        </w:rPr>
        <w:t xml:space="preserve">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30"/>
        <w:spacing w:after="0"/>
      </w:pPr>
      <w:r>
        <w:t xml:space="preserve">Данные об уча</w:t>
      </w:r>
      <w:r>
        <w:t xml:space="preserve">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8" w:tooltip="http://www.asv.org.ru/guide/bank/" w:history="1">
        <w:r>
          <w:rPr>
            <w:rStyle w:val="1446"/>
          </w:rPr>
          <w:t xml:space="preserve">http://www.</w:t>
        </w:r>
        <w:r>
          <w:rPr>
            <w:rStyle w:val="1446"/>
          </w:rPr>
          <w:t xml:space="preserve">asv.org.ru/guide/bank/</w:t>
        </w:r>
      </w:hyperlink>
      <w:r>
        <w:t xml:space="preserve"> или Банка России по адресу </w:t>
      </w:r>
      <w:hyperlink r:id="rId9" w:tooltip="http://www.cbr.ru/credit/." w:history="1">
        <w:r>
          <w:rPr>
            <w:rStyle w:val="1446"/>
          </w:rPr>
          <w:t xml:space="preserve">http://www.cbr.ru/credit/.</w:t>
        </w:r>
      </w:hyperlink>
      <w:r>
        <w:t xml:space="preserve"> </w:t>
      </w:r>
      <w:r/>
    </w:p>
  </w:footnote>
  <w:footnote w:id="13">
    <w:p>
      <w:pPr>
        <w:pStyle w:val="1430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</w:t>
      </w:r>
      <w:r>
        <w:t xml:space="preserve">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14">
    <w:p>
      <w:pPr>
        <w:pStyle w:val="1430"/>
        <w:spacing w:after="0"/>
      </w:pPr>
      <w:r>
        <w:rPr>
          <w:rStyle w:val="1429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</w:t>
      </w:r>
      <w:r>
        <w:t xml:space="preserve">п. 3.8.3 настоящего Порядка), а также банков,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</w:t>
      </w:r>
      <w:r>
        <w:t xml:space="preserve">ебованиям ст. 2 Федерального закона от 21.07.2014 № 213-ФЗ - не применяются.</w:t>
      </w:r>
      <w:r/>
    </w:p>
  </w:footnote>
  <w:footnote w:id="15">
    <w:p>
      <w:pPr>
        <w:pStyle w:val="1430"/>
        <w:spacing w:after="0"/>
      </w:pPr>
      <w:r>
        <w:rPr>
          <w:rStyle w:val="1429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</w:t>
      </w:r>
      <w:r>
        <w:t xml:space="preserve"> адресу </w:t>
      </w:r>
      <w:hyperlink r:id="rId10" w:tooltip="http://www.cbr.ru/credit/" w:history="1">
        <w:r>
          <w:rPr>
            <w:rStyle w:val="1446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16">
    <w:p>
      <w:pPr>
        <w:pStyle w:val="1430"/>
        <w:spacing w:after="0"/>
      </w:pPr>
      <w:r>
        <w:rPr>
          <w:rStyle w:val="1585"/>
          <w:vertAlign w:val="superscript"/>
        </w:rPr>
        <w:t xml:space="preserve">8</w:t>
      </w:r>
      <w:r>
        <w:rPr>
          <w:rStyle w:val="1586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587"/>
        </w:rPr>
        <w:t xml:space="preserve">https://cbr.ru.</w:t>
      </w:r>
      <w:r/>
    </w:p>
  </w:footnote>
  <w:footnote w:id="17">
    <w:p>
      <w:pPr>
        <w:pStyle w:val="1430"/>
        <w:spacing w:after="0"/>
      </w:pPr>
      <w:r>
        <w:rPr>
          <w:rStyle w:val="1585"/>
          <w:vertAlign w:val="superscript"/>
        </w:rPr>
        <w:t xml:space="preserve">9</w:t>
      </w:r>
      <w:r>
        <w:rPr>
          <w:rStyle w:val="1586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8">
    <w:p>
      <w:pPr>
        <w:pStyle w:val="1430"/>
      </w:pPr>
      <w:r>
        <w:rPr>
          <w:rStyle w:val="1429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19">
    <w:p>
      <w:pPr>
        <w:pStyle w:val="1430"/>
      </w:pPr>
      <w:r>
        <w:rPr>
          <w:rStyle w:val="1429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20">
    <w:p>
      <w:pPr>
        <w:pStyle w:val="1430"/>
      </w:pPr>
      <w:r>
        <w:rPr>
          <w:rStyle w:val="1429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лицом.</w:t>
      </w:r>
      <w:r/>
    </w:p>
  </w:footnote>
  <w:footnote w:id="21">
    <w:p>
      <w:pPr>
        <w:pStyle w:val="1430"/>
        <w:spacing w:after="0"/>
      </w:pPr>
      <w:r>
        <w:rPr>
          <w:rStyle w:val="1429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2">
    <w:p>
      <w:pPr>
        <w:pStyle w:val="1430"/>
        <w:spacing w:after="0"/>
      </w:pPr>
      <w:r>
        <w:rPr>
          <w:rStyle w:val="1429"/>
        </w:rPr>
        <w:footnoteRef/>
      </w:r>
      <w:r>
        <w:t xml:space="preserve"> В соответствии со ст. 102 НК РФ – данная информац</w:t>
      </w:r>
      <w:r>
        <w:t xml:space="preserve">ия не является налоговой тайной</w:t>
      </w:r>
      <w:r/>
    </w:p>
  </w:footnote>
  <w:footnote w:id="23">
    <w:p>
      <w:pPr>
        <w:pStyle w:val="1430"/>
        <w:spacing w:after="0"/>
      </w:pPr>
      <w:r>
        <w:rPr>
          <w:rStyle w:val="1429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4">
    <w:p>
      <w:pPr>
        <w:pStyle w:val="1430"/>
      </w:pPr>
      <w:r>
        <w:rPr>
          <w:rStyle w:val="1429"/>
        </w:rPr>
        <w:footnoteRef/>
      </w:r>
      <w:r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</w:t>
      </w:r>
      <w:r>
        <w:t xml:space="preserve">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</w:t>
      </w:r>
      <w:r>
        <w:t xml:space="preserve">нных Российской Федерацией на основании федеральных законов, включенные в перечни должностей, определяемые Президентом Российской Федерации. (</w:t>
      </w:r>
      <w:r>
        <w:rPr>
          <w:b/>
        </w:rPr>
        <w:t xml:space="preserve">Перечень публичных должностных лиц указан в </w:t>
      </w:r>
      <w:r/>
    </w:p>
  </w:footnote>
  <w:footnote w:id="25">
    <w:p>
      <w:pPr>
        <w:pStyle w:val="1430"/>
      </w:pPr>
      <w:r>
        <w:rPr>
          <w:rStyle w:val="1429"/>
        </w:rPr>
        <w:t xml:space="preserve">1</w:t>
      </w:r>
      <w:r>
        <w:t xml:space="preserve"> Указание вместо реквизитов лицензии Банка России реквизитов иных до</w:t>
      </w:r>
      <w:r>
        <w:t xml:space="preserve">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6">
    <w:p>
      <w:pPr>
        <w:pStyle w:val="1430"/>
      </w:pPr>
      <w:r>
        <w:rPr>
          <w:rStyle w:val="1429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</w:t>
      </w:r>
      <w:r>
        <w:t xml:space="preserve">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7">
    <w:p>
      <w:pPr>
        <w:pStyle w:val="1430"/>
      </w:pPr>
      <w:r>
        <w:rPr>
          <w:rStyle w:val="1429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567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5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pStyle w:val="1493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496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497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399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52" w:hanging="180"/>
      </w:p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530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81">
    <w:multiLevelType w:val="hybridMultilevel"/>
    <w:lvl w:ilvl="0">
      <w:start w:val="1"/>
      <w:numFmt w:val="decimal"/>
      <w:pStyle w:val="1561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563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562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564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7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9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3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5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93" w:hanging="360"/>
      </w:pPr>
      <w:rPr>
        <w:rFonts w:hint="default" w:ascii="Wingdings" w:hAnsi="Wingdings" w:eastAsia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7"/>
  </w:num>
  <w:num w:numId="2">
    <w:abstractNumId w:val="57"/>
  </w:num>
  <w:num w:numId="3">
    <w:abstractNumId w:val="54"/>
  </w:num>
  <w:num w:numId="4">
    <w:abstractNumId w:val="11"/>
  </w:num>
  <w:num w:numId="5">
    <w:abstractNumId w:val="80"/>
  </w:num>
  <w:num w:numId="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52"/>
  </w:num>
  <w:num w:numId="9">
    <w:abstractNumId w:val="92"/>
  </w:num>
  <w:num w:numId="10">
    <w:abstractNumId w:val="16"/>
  </w:num>
  <w:num w:numId="11">
    <w:abstractNumId w:val="9"/>
  </w:num>
  <w:num w:numId="12">
    <w:abstractNumId w:val="26"/>
  </w:num>
  <w:num w:numId="13">
    <w:abstractNumId w:val="79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"/>
  </w:num>
  <w:num w:numId="17">
    <w:abstractNumId w:val="78"/>
  </w:num>
  <w:num w:numId="18">
    <w:abstractNumId w:val="89"/>
  </w:num>
  <w:num w:numId="19">
    <w:abstractNumId w:val="24"/>
  </w:num>
  <w:num w:numId="20">
    <w:abstractNumId w:val="29"/>
  </w:num>
  <w:num w:numId="21">
    <w:abstractNumId w:val="58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2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60"/>
  </w:num>
  <w:num w:numId="25">
    <w:abstractNumId w:val="25"/>
  </w:num>
  <w:num w:numId="26">
    <w:abstractNumId w:val="35"/>
  </w:num>
  <w:num w:numId="27">
    <w:abstractNumId w:val="63"/>
  </w:num>
  <w:num w:numId="28">
    <w:abstractNumId w:val="38"/>
  </w:num>
  <w:num w:numId="2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6"/>
  </w:num>
  <w:num w:numId="31">
    <w:abstractNumId w:val="51"/>
  </w:num>
  <w:num w:numId="32">
    <w:abstractNumId w:val="71"/>
  </w:num>
  <w:num w:numId="33">
    <w:abstractNumId w:val="31"/>
  </w:num>
  <w:num w:numId="34">
    <w:abstractNumId w:val="34"/>
  </w:num>
  <w:num w:numId="35">
    <w:abstractNumId w:val="32"/>
  </w:num>
  <w:num w:numId="36">
    <w:abstractNumId w:val="76"/>
  </w:num>
  <w:num w:numId="37">
    <w:abstractNumId w:val="49"/>
  </w:num>
  <w:num w:numId="38">
    <w:abstractNumId w:val="12"/>
  </w:num>
  <w:num w:numId="39">
    <w:abstractNumId w:val="72"/>
  </w:num>
  <w:num w:numId="40">
    <w:abstractNumId w:val="8"/>
  </w:num>
  <w:num w:numId="41">
    <w:abstractNumId w:val="10"/>
  </w:num>
  <w:num w:numId="42">
    <w:abstractNumId w:val="83"/>
  </w:num>
  <w:num w:numId="43">
    <w:abstractNumId w:val="62"/>
  </w:num>
  <w:num w:numId="44">
    <w:abstractNumId w:val="67"/>
  </w:num>
  <w:num w:numId="45">
    <w:abstractNumId w:val="15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6"/>
  </w:num>
  <w:num w:numId="48">
    <w:abstractNumId w:val="90"/>
  </w:num>
  <w:num w:numId="49">
    <w:abstractNumId w:val="85"/>
  </w:num>
  <w:num w:numId="50">
    <w:abstractNumId w:val="84"/>
  </w:num>
  <w:num w:numId="51">
    <w:abstractNumId w:val="74"/>
  </w:num>
  <w:num w:numId="52">
    <w:abstractNumId w:val="27"/>
  </w:num>
  <w:num w:numId="53">
    <w:abstractNumId w:val="69"/>
  </w:num>
  <w:num w:numId="54">
    <w:abstractNumId w:val="42"/>
  </w:num>
  <w:num w:numId="55">
    <w:abstractNumId w:val="1"/>
  </w:num>
  <w:num w:numId="56">
    <w:abstractNumId w:val="65"/>
  </w:num>
  <w:num w:numId="57">
    <w:abstractNumId w:val="19"/>
  </w:num>
  <w:num w:numId="58">
    <w:abstractNumId w:val="20"/>
  </w:num>
  <w:num w:numId="59">
    <w:abstractNumId w:val="45"/>
  </w:num>
  <w:num w:numId="60">
    <w:abstractNumId w:val="43"/>
  </w:num>
  <w:num w:numId="61">
    <w:abstractNumId w:val="64"/>
  </w:num>
  <w:num w:numId="62">
    <w:abstractNumId w:val="41"/>
  </w:num>
  <w:num w:numId="63">
    <w:abstractNumId w:val="66"/>
  </w:num>
  <w:num w:numId="64">
    <w:abstractNumId w:val="73"/>
  </w:num>
  <w:num w:numId="65">
    <w:abstractNumId w:val="17"/>
  </w:num>
  <w:num w:numId="66">
    <w:abstractNumId w:val="14"/>
  </w:num>
  <w:num w:numId="67">
    <w:abstractNumId w:val="47"/>
  </w:num>
  <w:num w:numId="68">
    <w:abstractNumId w:val="28"/>
  </w:num>
  <w:num w:numId="69">
    <w:abstractNumId w:val="22"/>
  </w:num>
  <w:num w:numId="70">
    <w:abstractNumId w:val="13"/>
  </w:num>
  <w:num w:numId="71">
    <w:abstractNumId w:val="68"/>
  </w:num>
  <w:num w:numId="72">
    <w:abstractNumId w:val="87"/>
  </w:num>
  <w:num w:numId="73">
    <w:abstractNumId w:val="5"/>
  </w:num>
  <w:num w:numId="74">
    <w:abstractNumId w:val="39"/>
  </w:num>
  <w:num w:numId="75">
    <w:abstractNumId w:val="4"/>
  </w:num>
  <w:num w:numId="76">
    <w:abstractNumId w:val="3"/>
  </w:num>
  <w:num w:numId="77">
    <w:abstractNumId w:val="50"/>
  </w:num>
  <w:num w:numId="78">
    <w:abstractNumId w:val="70"/>
  </w:num>
  <w:num w:numId="79">
    <w:abstractNumId w:val="82"/>
  </w:num>
  <w:num w:numId="80">
    <w:abstractNumId w:val="48"/>
  </w:num>
  <w:num w:numId="81">
    <w:abstractNumId w:val="88"/>
  </w:num>
  <w:num w:numId="82">
    <w:abstractNumId w:val="36"/>
  </w:num>
  <w:num w:numId="83">
    <w:abstractNumId w:val="75"/>
  </w:num>
  <w:num w:numId="84">
    <w:abstractNumId w:val="40"/>
  </w:num>
  <w:num w:numId="85">
    <w:abstractNumId w:val="2"/>
  </w:num>
  <w:num w:numId="86">
    <w:abstractNumId w:val="86"/>
  </w:num>
  <w:num w:numId="87">
    <w:abstractNumId w:val="18"/>
  </w:num>
  <w:num w:numId="88">
    <w:abstractNumId w:val="33"/>
  </w:num>
  <w:num w:numId="89">
    <w:abstractNumId w:val="59"/>
  </w:num>
  <w:num w:numId="90">
    <w:abstractNumId w:val="91"/>
  </w:num>
  <w:num w:numId="91">
    <w:abstractNumId w:val="30"/>
  </w:num>
  <w:num w:numId="92">
    <w:abstractNumId w:val="55"/>
  </w:num>
  <w:num w:numId="93">
    <w:abstractNumId w:val="61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25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6">
    <w:name w:val="Heading 1"/>
    <w:basedOn w:val="1225"/>
    <w:next w:val="1225"/>
    <w:link w:val="1388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227">
    <w:name w:val="Heading 2"/>
    <w:basedOn w:val="1225"/>
    <w:next w:val="1225"/>
    <w:link w:val="1389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228">
    <w:name w:val="Heading 3"/>
    <w:basedOn w:val="1225"/>
    <w:next w:val="1225"/>
    <w:link w:val="1390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229">
    <w:name w:val="Heading 4"/>
    <w:basedOn w:val="1225"/>
    <w:next w:val="1225"/>
    <w:link w:val="1391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230">
    <w:name w:val="Heading 5"/>
    <w:basedOn w:val="1225"/>
    <w:next w:val="1225"/>
    <w:link w:val="1392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231">
    <w:name w:val="Heading 6"/>
    <w:basedOn w:val="1225"/>
    <w:next w:val="1225"/>
    <w:link w:val="1393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232">
    <w:name w:val="Heading 7"/>
    <w:basedOn w:val="1225"/>
    <w:next w:val="1225"/>
    <w:link w:val="1394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233">
    <w:name w:val="Heading 8"/>
    <w:basedOn w:val="1225"/>
    <w:next w:val="1225"/>
    <w:link w:val="1395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234">
    <w:name w:val="Heading 9"/>
    <w:basedOn w:val="1225"/>
    <w:next w:val="1225"/>
    <w:link w:val="1396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235" w:default="1">
    <w:name w:val="Default Paragraph Font"/>
    <w:uiPriority w:val="1"/>
    <w:semiHidden/>
    <w:unhideWhenUsed/>
  </w:style>
  <w:style w:type="table" w:styleId="12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37" w:default="1">
    <w:name w:val="No List"/>
    <w:uiPriority w:val="99"/>
    <w:semiHidden/>
    <w:unhideWhenUsed/>
  </w:style>
  <w:style w:type="character" w:styleId="1238" w:customStyle="1">
    <w:name w:val="Quote Char"/>
    <w:uiPriority w:val="29"/>
    <w:rPr>
      <w:i/>
    </w:rPr>
  </w:style>
  <w:style w:type="character" w:styleId="1239" w:customStyle="1">
    <w:name w:val="Intense Quote Char"/>
    <w:uiPriority w:val="30"/>
    <w:rPr>
      <w:i/>
    </w:rPr>
  </w:style>
  <w:style w:type="character" w:styleId="1240" w:customStyle="1">
    <w:name w:val="Heading 1 Char"/>
    <w:basedOn w:val="1235"/>
    <w:uiPriority w:val="9"/>
    <w:rPr>
      <w:rFonts w:ascii="Arial" w:hAnsi="Arial" w:eastAsia="Arial" w:cs="Arial"/>
      <w:sz w:val="40"/>
      <w:szCs w:val="40"/>
    </w:rPr>
  </w:style>
  <w:style w:type="character" w:styleId="1241" w:customStyle="1">
    <w:name w:val="Heading 2 Char"/>
    <w:basedOn w:val="1235"/>
    <w:uiPriority w:val="9"/>
    <w:rPr>
      <w:rFonts w:ascii="Arial" w:hAnsi="Arial" w:eastAsia="Arial" w:cs="Arial"/>
      <w:sz w:val="34"/>
    </w:rPr>
  </w:style>
  <w:style w:type="character" w:styleId="1242" w:customStyle="1">
    <w:name w:val="Heading 3 Char"/>
    <w:basedOn w:val="1235"/>
    <w:uiPriority w:val="9"/>
    <w:rPr>
      <w:rFonts w:ascii="Arial" w:hAnsi="Arial" w:eastAsia="Arial" w:cs="Arial"/>
      <w:sz w:val="30"/>
      <w:szCs w:val="30"/>
    </w:rPr>
  </w:style>
  <w:style w:type="character" w:styleId="1243" w:customStyle="1">
    <w:name w:val="Heading 4 Char"/>
    <w:basedOn w:val="1235"/>
    <w:uiPriority w:val="9"/>
    <w:rPr>
      <w:rFonts w:ascii="Arial" w:hAnsi="Arial" w:eastAsia="Arial" w:cs="Arial"/>
      <w:b/>
      <w:bCs/>
      <w:sz w:val="26"/>
      <w:szCs w:val="26"/>
    </w:rPr>
  </w:style>
  <w:style w:type="character" w:styleId="1244" w:customStyle="1">
    <w:name w:val="Heading 5 Char"/>
    <w:basedOn w:val="1235"/>
    <w:uiPriority w:val="9"/>
    <w:rPr>
      <w:rFonts w:ascii="Arial" w:hAnsi="Arial" w:eastAsia="Arial" w:cs="Arial"/>
      <w:b/>
      <w:bCs/>
      <w:sz w:val="24"/>
      <w:szCs w:val="24"/>
    </w:rPr>
  </w:style>
  <w:style w:type="character" w:styleId="1245" w:customStyle="1">
    <w:name w:val="Heading 6 Char"/>
    <w:basedOn w:val="1235"/>
    <w:uiPriority w:val="9"/>
    <w:rPr>
      <w:rFonts w:ascii="Arial" w:hAnsi="Arial" w:eastAsia="Arial" w:cs="Arial"/>
      <w:b/>
      <w:bCs/>
      <w:sz w:val="22"/>
      <w:szCs w:val="22"/>
    </w:rPr>
  </w:style>
  <w:style w:type="character" w:styleId="1246" w:customStyle="1">
    <w:name w:val="Heading 7 Char"/>
    <w:basedOn w:val="12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247" w:customStyle="1">
    <w:name w:val="Heading 8 Char"/>
    <w:basedOn w:val="1235"/>
    <w:uiPriority w:val="9"/>
    <w:rPr>
      <w:rFonts w:ascii="Arial" w:hAnsi="Arial" w:eastAsia="Arial" w:cs="Arial"/>
      <w:i/>
      <w:iCs/>
      <w:sz w:val="22"/>
      <w:szCs w:val="22"/>
    </w:rPr>
  </w:style>
  <w:style w:type="character" w:styleId="1248" w:customStyle="1">
    <w:name w:val="Heading 9 Char"/>
    <w:basedOn w:val="1235"/>
    <w:uiPriority w:val="9"/>
    <w:rPr>
      <w:rFonts w:ascii="Arial" w:hAnsi="Arial" w:eastAsia="Arial" w:cs="Arial"/>
      <w:i/>
      <w:iCs/>
      <w:sz w:val="21"/>
      <w:szCs w:val="21"/>
    </w:rPr>
  </w:style>
  <w:style w:type="character" w:styleId="1249" w:customStyle="1">
    <w:name w:val="Title Char"/>
    <w:basedOn w:val="1235"/>
    <w:uiPriority w:val="10"/>
    <w:rPr>
      <w:sz w:val="48"/>
      <w:szCs w:val="48"/>
    </w:rPr>
  </w:style>
  <w:style w:type="character" w:styleId="1250" w:customStyle="1">
    <w:name w:val="Subtitle Char"/>
    <w:basedOn w:val="1235"/>
    <w:uiPriority w:val="11"/>
    <w:rPr>
      <w:sz w:val="24"/>
      <w:szCs w:val="24"/>
    </w:rPr>
  </w:style>
  <w:style w:type="paragraph" w:styleId="1251">
    <w:name w:val="Quote"/>
    <w:basedOn w:val="1225"/>
    <w:next w:val="1225"/>
    <w:link w:val="1252"/>
    <w:uiPriority w:val="29"/>
    <w:qFormat/>
    <w:pPr>
      <w:ind w:left="720" w:right="720"/>
    </w:pPr>
    <w:rPr>
      <w:i/>
    </w:rPr>
  </w:style>
  <w:style w:type="character" w:styleId="1252" w:customStyle="1">
    <w:name w:val="Цитата 2 Знак"/>
    <w:link w:val="1251"/>
    <w:uiPriority w:val="29"/>
    <w:rPr>
      <w:i/>
    </w:rPr>
  </w:style>
  <w:style w:type="paragraph" w:styleId="1253">
    <w:name w:val="Intense Quote"/>
    <w:basedOn w:val="1225"/>
    <w:next w:val="1225"/>
    <w:link w:val="125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254" w:customStyle="1">
    <w:name w:val="Выделенная цитата Знак"/>
    <w:link w:val="1253"/>
    <w:uiPriority w:val="30"/>
    <w:rPr>
      <w:i/>
    </w:rPr>
  </w:style>
  <w:style w:type="character" w:styleId="1255" w:customStyle="1">
    <w:name w:val="Header Char"/>
    <w:basedOn w:val="1235"/>
    <w:uiPriority w:val="99"/>
  </w:style>
  <w:style w:type="character" w:styleId="1256" w:customStyle="1">
    <w:name w:val="Footer Char"/>
    <w:basedOn w:val="1235"/>
    <w:uiPriority w:val="99"/>
  </w:style>
  <w:style w:type="character" w:styleId="1257" w:customStyle="1">
    <w:name w:val="Caption Char"/>
    <w:uiPriority w:val="99"/>
  </w:style>
  <w:style w:type="table" w:styleId="1258" w:customStyle="1">
    <w:name w:val="Table Grid Light"/>
    <w:basedOn w:val="123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59">
    <w:name w:val="Plain Table 1"/>
    <w:basedOn w:val="123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60">
    <w:name w:val="Plain Table 2"/>
    <w:basedOn w:val="123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61">
    <w:name w:val="Plain Table 3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62">
    <w:name w:val="Plain Table 4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3">
    <w:name w:val="Plain Table 5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64">
    <w:name w:val="Grid Table 1 Light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5" w:customStyle="1">
    <w:name w:val="Grid Table 1 Light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6" w:customStyle="1">
    <w:name w:val="Grid Table 1 Light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7" w:customStyle="1">
    <w:name w:val="Grid Table 1 Light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8" w:customStyle="1">
    <w:name w:val="Grid Table 1 Light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9" w:customStyle="1">
    <w:name w:val="Grid Table 1 Light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0" w:customStyle="1">
    <w:name w:val="Grid Table 1 Light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1">
    <w:name w:val="Grid Table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2" w:customStyle="1">
    <w:name w:val="Grid Table 2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3" w:customStyle="1">
    <w:name w:val="Grid Table 2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4" w:customStyle="1">
    <w:name w:val="Grid Table 2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5" w:customStyle="1">
    <w:name w:val="Grid Table 2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6" w:customStyle="1">
    <w:name w:val="Grid Table 2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7" w:customStyle="1">
    <w:name w:val="Grid Table 2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8">
    <w:name w:val="Grid Table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9" w:customStyle="1">
    <w:name w:val="Grid Table 3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0" w:customStyle="1">
    <w:name w:val="Grid Table 3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1" w:customStyle="1">
    <w:name w:val="Grid Table 3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2" w:customStyle="1">
    <w:name w:val="Grid Table 3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3" w:customStyle="1">
    <w:name w:val="Grid Table 3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4" w:customStyle="1">
    <w:name w:val="Grid Table 3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5">
    <w:name w:val="Grid Table 4"/>
    <w:basedOn w:val="123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86" w:customStyle="1">
    <w:name w:val="Grid Table 4 - Accent 1"/>
    <w:basedOn w:val="123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287" w:customStyle="1">
    <w:name w:val="Grid Table 4 - Accent 2"/>
    <w:basedOn w:val="123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288" w:customStyle="1">
    <w:name w:val="Grid Table 4 - Accent 3"/>
    <w:basedOn w:val="123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289" w:customStyle="1">
    <w:name w:val="Grid Table 4 - Accent 4"/>
    <w:basedOn w:val="123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290" w:customStyle="1">
    <w:name w:val="Grid Table 4 - Accent 5"/>
    <w:basedOn w:val="123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291" w:customStyle="1">
    <w:name w:val="Grid Table 4 - Accent 6"/>
    <w:basedOn w:val="123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292">
    <w:name w:val="Grid Table 5 Dark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93" w:customStyle="1">
    <w:name w:val="Grid Table 5 Dark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294" w:customStyle="1">
    <w:name w:val="Grid Table 5 Dark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295" w:customStyle="1">
    <w:name w:val="Grid Table 5 Dark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296" w:customStyle="1">
    <w:name w:val="Grid Table 5 Dark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297" w:customStyle="1">
    <w:name w:val="Grid Table 5 Dark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298" w:customStyle="1">
    <w:name w:val="Grid Table 5 Dark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299">
    <w:name w:val="Grid Table 6 Colorful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300" w:customStyle="1">
    <w:name w:val="Grid Table 6 Colorful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301" w:customStyle="1">
    <w:name w:val="Grid Table 6 Colorful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302" w:customStyle="1">
    <w:name w:val="Grid Table 6 Colorful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303" w:customStyle="1">
    <w:name w:val="Grid Table 6 Colorful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304" w:customStyle="1">
    <w:name w:val="Grid Table 6 Colorful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305" w:customStyle="1">
    <w:name w:val="Grid Table 6 Colorful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306">
    <w:name w:val="Grid Table 7 Colorful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7" w:customStyle="1">
    <w:name w:val="Grid Table 7 Colorful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8" w:customStyle="1">
    <w:name w:val="Grid Table 7 Colorful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9" w:customStyle="1">
    <w:name w:val="Grid Table 7 Colorful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10" w:customStyle="1">
    <w:name w:val="Grid Table 7 Colorful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11" w:customStyle="1">
    <w:name w:val="Grid Table 7 Colorful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12" w:customStyle="1">
    <w:name w:val="Grid Table 7 Colorful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13">
    <w:name w:val="List Table 1 Light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4" w:customStyle="1">
    <w:name w:val="List Table 1 Light - Accent 1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5" w:customStyle="1">
    <w:name w:val="List Table 1 Light - Accent 2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6" w:customStyle="1">
    <w:name w:val="List Table 1 Light - Accent 3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7" w:customStyle="1">
    <w:name w:val="List Table 1 Light - Accent 4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8" w:customStyle="1">
    <w:name w:val="List Table 1 Light - Accent 5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19" w:customStyle="1">
    <w:name w:val="List Table 1 Light - Accent 6"/>
    <w:basedOn w:val="123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0">
    <w:name w:val="List Table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321" w:customStyle="1">
    <w:name w:val="List Table 2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322" w:customStyle="1">
    <w:name w:val="List Table 2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323" w:customStyle="1">
    <w:name w:val="List Table 2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324" w:customStyle="1">
    <w:name w:val="List Table 2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325" w:customStyle="1">
    <w:name w:val="List Table 2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326" w:customStyle="1">
    <w:name w:val="List Table 2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327">
    <w:name w:val="List Table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8" w:customStyle="1">
    <w:name w:val="List Table 3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9" w:customStyle="1">
    <w:name w:val="List Table 3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0" w:customStyle="1">
    <w:name w:val="List Table 3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1" w:customStyle="1">
    <w:name w:val="List Table 3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2" w:customStyle="1">
    <w:name w:val="List Table 3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3" w:customStyle="1">
    <w:name w:val="List Table 3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4">
    <w:name w:val="List Table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5" w:customStyle="1">
    <w:name w:val="List Table 4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6" w:customStyle="1">
    <w:name w:val="List Table 4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7" w:customStyle="1">
    <w:name w:val="List Table 4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8" w:customStyle="1">
    <w:name w:val="List Table 4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9" w:customStyle="1">
    <w:name w:val="List Table 4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0" w:customStyle="1">
    <w:name w:val="List Table 4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1">
    <w:name w:val="List Table 5 Dark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2" w:customStyle="1">
    <w:name w:val="List Table 5 Dark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3" w:customStyle="1">
    <w:name w:val="List Table 5 Dark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4" w:customStyle="1">
    <w:name w:val="List Table 5 Dark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5" w:customStyle="1">
    <w:name w:val="List Table 5 Dark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6" w:customStyle="1">
    <w:name w:val="List Table 5 Dark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7" w:customStyle="1">
    <w:name w:val="List Table 5 Dark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348">
    <w:name w:val="List Table 6 Colorful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349" w:customStyle="1">
    <w:name w:val="List Table 6 Colorful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350" w:customStyle="1">
    <w:name w:val="List Table 6 Colorful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351" w:customStyle="1">
    <w:name w:val="List Table 6 Colorful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352" w:customStyle="1">
    <w:name w:val="List Table 6 Colorful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353" w:customStyle="1">
    <w:name w:val="List Table 6 Colorful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354" w:customStyle="1">
    <w:name w:val="List Table 6 Colorful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355">
    <w:name w:val="List Table 7 Colorful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6" w:customStyle="1">
    <w:name w:val="List Table 7 Colorful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7" w:customStyle="1">
    <w:name w:val="List Table 7 Colorful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8" w:customStyle="1">
    <w:name w:val="List Table 7 Colorful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59" w:customStyle="1">
    <w:name w:val="List Table 7 Colorful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60" w:customStyle="1">
    <w:name w:val="List Table 7 Colorful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61" w:customStyle="1">
    <w:name w:val="List Table 7 Colorful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62" w:customStyle="1">
    <w:name w:val="Lined - Accent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63" w:customStyle="1">
    <w:name w:val="Lined - Accent 1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64" w:customStyle="1">
    <w:name w:val="Lined - Accent 2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65" w:customStyle="1">
    <w:name w:val="Lined - Accent 3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66" w:customStyle="1">
    <w:name w:val="Lined - Accent 4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67" w:customStyle="1">
    <w:name w:val="Lined - Accent 5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68" w:customStyle="1">
    <w:name w:val="Lined - Accent 6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69" w:customStyle="1">
    <w:name w:val="Bordered &amp; Lined - Accent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70" w:customStyle="1">
    <w:name w:val="Bordered &amp; Lined - Accent 1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71" w:customStyle="1">
    <w:name w:val="Bordered &amp; Lined - Accent 2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72" w:customStyle="1">
    <w:name w:val="Bordered &amp; Lined - Accent 3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73" w:customStyle="1">
    <w:name w:val="Bordered &amp; Lined - Accent 4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74" w:customStyle="1">
    <w:name w:val="Bordered &amp; Lined - Accent 5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75" w:customStyle="1">
    <w:name w:val="Bordered &amp; Lined - Accent 6"/>
    <w:basedOn w:val="123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76" w:customStyle="1">
    <w:name w:val="Bordered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377" w:customStyle="1">
    <w:name w:val="Bordered - Accent 1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378" w:customStyle="1">
    <w:name w:val="Bordered - Accent 2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379" w:customStyle="1">
    <w:name w:val="Bordered - Accent 3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380" w:customStyle="1">
    <w:name w:val="Bordered - Accent 4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381" w:customStyle="1">
    <w:name w:val="Bordered - Accent 5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382" w:customStyle="1">
    <w:name w:val="Bordered - Accent 6"/>
    <w:basedOn w:val="12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383" w:customStyle="1">
    <w:name w:val="Footnote Text Char"/>
    <w:uiPriority w:val="99"/>
    <w:rPr>
      <w:sz w:val="18"/>
    </w:rPr>
  </w:style>
  <w:style w:type="character" w:styleId="1384" w:customStyle="1">
    <w:name w:val="Endnote Text Char"/>
    <w:uiPriority w:val="99"/>
    <w:rPr>
      <w:sz w:val="20"/>
    </w:rPr>
  </w:style>
  <w:style w:type="character" w:styleId="1385">
    <w:name w:val="endnote reference"/>
    <w:basedOn w:val="1235"/>
    <w:uiPriority w:val="99"/>
    <w:semiHidden/>
    <w:unhideWhenUsed/>
    <w:rPr>
      <w:vertAlign w:val="superscript"/>
    </w:rPr>
  </w:style>
  <w:style w:type="paragraph" w:styleId="1386">
    <w:name w:val="TOC Heading"/>
    <w:uiPriority w:val="39"/>
    <w:unhideWhenUsed/>
  </w:style>
  <w:style w:type="paragraph" w:styleId="1387">
    <w:name w:val="table of figures"/>
    <w:basedOn w:val="1225"/>
    <w:next w:val="1225"/>
    <w:uiPriority w:val="99"/>
    <w:unhideWhenUsed/>
    <w:pPr>
      <w:spacing w:after="0"/>
    </w:pPr>
  </w:style>
  <w:style w:type="character" w:styleId="1388" w:customStyle="1">
    <w:name w:val="Заголовок 1 Знак1"/>
    <w:link w:val="1226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389" w:customStyle="1">
    <w:name w:val="Заголовок 2 Знак"/>
    <w:basedOn w:val="1235"/>
    <w:link w:val="1227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390" w:customStyle="1">
    <w:name w:val="Заголовок 3 Знак"/>
    <w:basedOn w:val="1235"/>
    <w:link w:val="1228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391" w:customStyle="1">
    <w:name w:val="Заголовок 4 Знак"/>
    <w:basedOn w:val="1235"/>
    <w:link w:val="1229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392" w:customStyle="1">
    <w:name w:val="Заголовок 5 Знак"/>
    <w:basedOn w:val="1235"/>
    <w:link w:val="1230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393" w:customStyle="1">
    <w:name w:val="Заголовок 6 Знак"/>
    <w:basedOn w:val="1235"/>
    <w:link w:val="1231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394" w:customStyle="1">
    <w:name w:val="Заголовок 7 Знак"/>
    <w:basedOn w:val="1235"/>
    <w:link w:val="1232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395" w:customStyle="1">
    <w:name w:val="Заголовок 8 Знак"/>
    <w:basedOn w:val="1235"/>
    <w:link w:val="1233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396" w:customStyle="1">
    <w:name w:val="Заголовок 9 Знак"/>
    <w:basedOn w:val="1235"/>
    <w:link w:val="1234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397" w:customStyle="1">
    <w:name w:val="Заголовок 1 Знак"/>
    <w:basedOn w:val="1235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398" w:customStyle="1">
    <w:name w:val="Основной текст с отступом1"/>
    <w:basedOn w:val="1225"/>
    <w:uiPriority w:val="99"/>
    <w:pPr>
      <w:ind w:firstLine="851"/>
      <w:spacing w:before="60" w:after="0"/>
    </w:pPr>
  </w:style>
  <w:style w:type="paragraph" w:styleId="1399">
    <w:name w:val="Body Text Indent"/>
    <w:basedOn w:val="1225"/>
    <w:link w:val="1400"/>
    <w:uiPriority w:val="99"/>
    <w:pPr>
      <w:numPr>
        <w:ilvl w:val="1"/>
        <w:numId w:val="2"/>
      </w:numPr>
    </w:pPr>
  </w:style>
  <w:style w:type="character" w:styleId="1400" w:customStyle="1">
    <w:name w:val="Основной текст с отступом Знак"/>
    <w:basedOn w:val="1235"/>
    <w:link w:val="139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1">
    <w:name w:val="List Bullet"/>
    <w:basedOn w:val="1225"/>
    <w:uiPriority w:val="99"/>
    <w:pPr>
      <w:widowControl w:val="off"/>
    </w:pPr>
  </w:style>
  <w:style w:type="paragraph" w:styleId="1402">
    <w:name w:val="List Bullet 2"/>
    <w:basedOn w:val="1225"/>
    <w:uiPriority w:val="99"/>
    <w:pPr>
      <w:ind w:left="643" w:hanging="360"/>
      <w:tabs>
        <w:tab w:val="num" w:pos="643" w:leader="none"/>
      </w:tabs>
    </w:pPr>
  </w:style>
  <w:style w:type="paragraph" w:styleId="1403">
    <w:name w:val="List Bullet 3"/>
    <w:basedOn w:val="1225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404">
    <w:name w:val="List Bullet 4"/>
    <w:basedOn w:val="1225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405">
    <w:name w:val="List Bullet 5"/>
    <w:basedOn w:val="1225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406">
    <w:name w:val="List Number"/>
    <w:basedOn w:val="1225"/>
    <w:uiPriority w:val="99"/>
    <w:pPr>
      <w:ind w:left="360" w:hanging="360"/>
      <w:tabs>
        <w:tab w:val="num" w:pos="1492" w:leader="none"/>
      </w:tabs>
    </w:pPr>
  </w:style>
  <w:style w:type="paragraph" w:styleId="1407">
    <w:name w:val="List Number 2"/>
    <w:basedOn w:val="1225"/>
    <w:uiPriority w:val="99"/>
    <w:pPr>
      <w:ind w:left="643" w:hanging="360"/>
      <w:tabs>
        <w:tab w:val="num" w:pos="643" w:leader="none"/>
      </w:tabs>
    </w:pPr>
  </w:style>
  <w:style w:type="paragraph" w:styleId="1408">
    <w:name w:val="List Number 3"/>
    <w:basedOn w:val="1225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409">
    <w:name w:val="List Number 4"/>
    <w:basedOn w:val="1225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410">
    <w:name w:val="List Number 5"/>
    <w:basedOn w:val="1225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411">
    <w:name w:val="Title"/>
    <w:basedOn w:val="1225"/>
    <w:link w:val="1412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412" w:customStyle="1">
    <w:name w:val="Заголовок Знак"/>
    <w:basedOn w:val="1235"/>
    <w:link w:val="1411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413">
    <w:name w:val="Subtitle"/>
    <w:basedOn w:val="1225"/>
    <w:link w:val="1414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414" w:customStyle="1">
    <w:name w:val="Подзаголовок Знак"/>
    <w:basedOn w:val="1235"/>
    <w:link w:val="1413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415">
    <w:name w:val="toc 3"/>
    <w:basedOn w:val="1225"/>
    <w:next w:val="1225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416">
    <w:name w:val="toc 1"/>
    <w:basedOn w:val="1225"/>
    <w:next w:val="1225"/>
    <w:uiPriority w:val="39"/>
    <w:pPr>
      <w:jc w:val="left"/>
      <w:spacing w:before="120" w:after="120"/>
      <w:tabs>
        <w:tab w:val="left" w:pos="709" w:leader="none"/>
        <w:tab w:val="right" w:pos="10195" w:leader="dot"/>
      </w:tabs>
    </w:pPr>
    <w:rPr>
      <w:b/>
      <w:bCs/>
      <w:caps/>
      <w:sz w:val="20"/>
      <w:szCs w:val="20"/>
    </w:rPr>
  </w:style>
  <w:style w:type="paragraph" w:styleId="1417">
    <w:name w:val="toc 2"/>
    <w:basedOn w:val="1225"/>
    <w:next w:val="1225"/>
    <w:uiPriority w:val="39"/>
    <w:pPr>
      <w:jc w:val="left"/>
      <w:spacing w:after="0"/>
      <w:tabs>
        <w:tab w:val="left" w:pos="960" w:leader="none"/>
        <w:tab w:val="right" w:pos="10195" w:leader="dot"/>
      </w:tabs>
    </w:pPr>
    <w:rPr>
      <w:smallCaps/>
      <w:sz w:val="20"/>
      <w:szCs w:val="20"/>
    </w:rPr>
  </w:style>
  <w:style w:type="paragraph" w:styleId="1418">
    <w:name w:val="Date"/>
    <w:basedOn w:val="1225"/>
    <w:next w:val="1225"/>
    <w:link w:val="1419"/>
    <w:uiPriority w:val="99"/>
  </w:style>
  <w:style w:type="character" w:styleId="1419" w:customStyle="1">
    <w:name w:val="Дата Знак"/>
    <w:basedOn w:val="1235"/>
    <w:link w:val="141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0">
    <w:name w:val="Body Text"/>
    <w:basedOn w:val="1225"/>
    <w:link w:val="1421"/>
    <w:uiPriority w:val="99"/>
    <w:pPr>
      <w:spacing w:after="120"/>
    </w:pPr>
  </w:style>
  <w:style w:type="character" w:styleId="1421" w:customStyle="1">
    <w:name w:val="Основной текст Знак"/>
    <w:basedOn w:val="1235"/>
    <w:link w:val="142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2">
    <w:name w:val="Body Text Indent 2"/>
    <w:basedOn w:val="1225"/>
    <w:link w:val="1423"/>
    <w:uiPriority w:val="99"/>
    <w:pPr>
      <w:ind w:left="283"/>
      <w:spacing w:after="120" w:line="480" w:lineRule="auto"/>
    </w:pPr>
  </w:style>
  <w:style w:type="character" w:styleId="1423" w:customStyle="1">
    <w:name w:val="Основной текст с отступом 2 Знак"/>
    <w:basedOn w:val="1235"/>
    <w:link w:val="142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4">
    <w:name w:val="Body Text Indent 3"/>
    <w:basedOn w:val="1225"/>
    <w:link w:val="1425"/>
    <w:uiPriority w:val="99"/>
    <w:pPr>
      <w:ind w:left="283"/>
      <w:spacing w:after="120"/>
    </w:pPr>
    <w:rPr>
      <w:sz w:val="16"/>
      <w:szCs w:val="16"/>
    </w:rPr>
  </w:style>
  <w:style w:type="character" w:styleId="1425" w:customStyle="1">
    <w:name w:val="Основной текст с отступом 3 Знак"/>
    <w:basedOn w:val="1235"/>
    <w:link w:val="1424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26">
    <w:name w:val="Header"/>
    <w:basedOn w:val="1225"/>
    <w:link w:val="1427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427" w:customStyle="1">
    <w:name w:val="Верхний колонтитул Знак"/>
    <w:basedOn w:val="1235"/>
    <w:link w:val="142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8">
    <w:name w:val="Block Text"/>
    <w:basedOn w:val="1225"/>
    <w:uiPriority w:val="99"/>
    <w:pPr>
      <w:ind w:left="1440" w:right="1440"/>
      <w:spacing w:after="120"/>
    </w:pPr>
  </w:style>
  <w:style w:type="character" w:styleId="1429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430">
    <w:name w:val="footnote text"/>
    <w:basedOn w:val="1225"/>
    <w:link w:val="1431"/>
    <w:uiPriority w:val="99"/>
    <w:rPr>
      <w:sz w:val="20"/>
      <w:szCs w:val="20"/>
    </w:rPr>
  </w:style>
  <w:style w:type="character" w:styleId="1431" w:customStyle="1">
    <w:name w:val="Текст сноски Знак"/>
    <w:basedOn w:val="1235"/>
    <w:link w:val="143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32">
    <w:name w:val="page number"/>
    <w:uiPriority w:val="99"/>
    <w:rPr>
      <w:rFonts w:ascii="Times New Roman" w:hAnsi="Times New Roman" w:cs="Times New Roman"/>
    </w:rPr>
  </w:style>
  <w:style w:type="paragraph" w:styleId="1433">
    <w:name w:val="Footer"/>
    <w:basedOn w:val="1225"/>
    <w:link w:val="1434"/>
    <w:uiPriority w:val="99"/>
    <w:pPr>
      <w:tabs>
        <w:tab w:val="center" w:pos="4153" w:leader="none"/>
        <w:tab w:val="right" w:pos="8306" w:leader="none"/>
      </w:tabs>
    </w:pPr>
  </w:style>
  <w:style w:type="character" w:styleId="1434" w:customStyle="1">
    <w:name w:val="Нижний колонтитул Знак"/>
    <w:basedOn w:val="1235"/>
    <w:link w:val="143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5">
    <w:name w:val="Body Text 3"/>
    <w:basedOn w:val="1225"/>
    <w:link w:val="1436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436" w:customStyle="1">
    <w:name w:val="Основной текст 3 Знак"/>
    <w:basedOn w:val="1235"/>
    <w:link w:val="1435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7">
    <w:name w:val="Plain Text"/>
    <w:basedOn w:val="1225"/>
    <w:link w:val="1438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438" w:customStyle="1">
    <w:name w:val="Текст Знак"/>
    <w:basedOn w:val="1235"/>
    <w:link w:val="1437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39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40">
    <w:name w:val="Normal (Web)"/>
    <w:basedOn w:val="1225"/>
    <w:uiPriority w:val="99"/>
    <w:pPr>
      <w:jc w:val="left"/>
      <w:spacing w:before="100" w:beforeAutospacing="1" w:after="100" w:afterAutospacing="1"/>
    </w:pPr>
  </w:style>
  <w:style w:type="paragraph" w:styleId="1441">
    <w:name w:val="HTML Address"/>
    <w:basedOn w:val="1225"/>
    <w:link w:val="1442"/>
    <w:uiPriority w:val="99"/>
    <w:rPr>
      <w:i/>
      <w:iCs/>
    </w:rPr>
  </w:style>
  <w:style w:type="character" w:styleId="1442" w:customStyle="1">
    <w:name w:val="Адрес HTML Знак"/>
    <w:basedOn w:val="1235"/>
    <w:link w:val="1441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443">
    <w:name w:val="envelope address"/>
    <w:basedOn w:val="1225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444">
    <w:name w:val="HTML Acronym"/>
    <w:basedOn w:val="1235"/>
    <w:uiPriority w:val="99"/>
  </w:style>
  <w:style w:type="character" w:styleId="1445">
    <w:name w:val="Emphasis"/>
    <w:uiPriority w:val="99"/>
    <w:qFormat/>
    <w:rPr>
      <w:i/>
      <w:iCs/>
    </w:rPr>
  </w:style>
  <w:style w:type="character" w:styleId="1446">
    <w:name w:val="Hyperlink"/>
    <w:uiPriority w:val="99"/>
    <w:rPr>
      <w:color w:val="0000ff"/>
      <w:u w:val="single"/>
    </w:rPr>
  </w:style>
  <w:style w:type="paragraph" w:styleId="1447">
    <w:name w:val="Note Heading"/>
    <w:basedOn w:val="1225"/>
    <w:next w:val="1225"/>
    <w:link w:val="1448"/>
    <w:uiPriority w:val="99"/>
  </w:style>
  <w:style w:type="character" w:styleId="1448" w:customStyle="1">
    <w:name w:val="Заголовок записки Знак"/>
    <w:basedOn w:val="1235"/>
    <w:link w:val="144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49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450">
    <w:name w:val="HTML Code"/>
    <w:uiPriority w:val="99"/>
    <w:rPr>
      <w:rFonts w:ascii="Courier New" w:hAnsi="Courier New" w:cs="Courier New"/>
      <w:sz w:val="20"/>
      <w:szCs w:val="20"/>
    </w:rPr>
  </w:style>
  <w:style w:type="paragraph" w:styleId="1451">
    <w:name w:val="Body Text First Indent"/>
    <w:basedOn w:val="1420"/>
    <w:link w:val="1452"/>
    <w:uiPriority w:val="99"/>
    <w:pPr>
      <w:ind w:firstLine="210"/>
    </w:pPr>
  </w:style>
  <w:style w:type="character" w:styleId="1452" w:customStyle="1">
    <w:name w:val="Красная строка Знак"/>
    <w:basedOn w:val="1421"/>
    <w:link w:val="145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3">
    <w:name w:val="Body Text First Indent 2"/>
    <w:basedOn w:val="1398"/>
    <w:link w:val="1454"/>
    <w:uiPriority w:val="99"/>
    <w:pPr>
      <w:ind w:left="283" w:firstLine="210"/>
      <w:spacing w:before="0" w:after="120"/>
    </w:pPr>
  </w:style>
  <w:style w:type="character" w:styleId="1454" w:customStyle="1">
    <w:name w:val="Красная строка 2 Знак"/>
    <w:basedOn w:val="1400"/>
    <w:link w:val="145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55">
    <w:name w:val="line number"/>
    <w:basedOn w:val="1235"/>
    <w:uiPriority w:val="99"/>
  </w:style>
  <w:style w:type="character" w:styleId="1456">
    <w:name w:val="HTML Sample"/>
    <w:uiPriority w:val="99"/>
    <w:rPr>
      <w:rFonts w:ascii="Courier New" w:hAnsi="Courier New" w:cs="Courier New"/>
    </w:rPr>
  </w:style>
  <w:style w:type="paragraph" w:styleId="1457">
    <w:name w:val="envelope return"/>
    <w:basedOn w:val="1225"/>
    <w:uiPriority w:val="99"/>
    <w:rPr>
      <w:rFonts w:ascii="Arial" w:hAnsi="Arial" w:cs="Arial"/>
      <w:sz w:val="20"/>
      <w:szCs w:val="20"/>
    </w:rPr>
  </w:style>
  <w:style w:type="paragraph" w:styleId="1458">
    <w:name w:val="Normal Indent"/>
    <w:basedOn w:val="1225"/>
    <w:uiPriority w:val="99"/>
    <w:pPr>
      <w:ind w:left="708"/>
    </w:pPr>
  </w:style>
  <w:style w:type="character" w:styleId="1459">
    <w:name w:val="HTML Definition"/>
    <w:uiPriority w:val="99"/>
    <w:rPr>
      <w:i/>
      <w:iCs/>
    </w:rPr>
  </w:style>
  <w:style w:type="character" w:styleId="1460">
    <w:name w:val="HTML Variable"/>
    <w:uiPriority w:val="99"/>
    <w:rPr>
      <w:i/>
      <w:iCs/>
    </w:rPr>
  </w:style>
  <w:style w:type="character" w:styleId="1461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462">
    <w:name w:val="Signature"/>
    <w:basedOn w:val="1225"/>
    <w:link w:val="1463"/>
    <w:uiPriority w:val="99"/>
    <w:pPr>
      <w:ind w:left="4252"/>
    </w:pPr>
  </w:style>
  <w:style w:type="character" w:styleId="1463" w:customStyle="1">
    <w:name w:val="Подпись Знак"/>
    <w:basedOn w:val="1235"/>
    <w:link w:val="146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64">
    <w:name w:val="Salutation"/>
    <w:basedOn w:val="1225"/>
    <w:next w:val="1225"/>
    <w:link w:val="1465"/>
    <w:uiPriority w:val="99"/>
  </w:style>
  <w:style w:type="character" w:styleId="1465" w:customStyle="1">
    <w:name w:val="Приветствие Знак"/>
    <w:basedOn w:val="1235"/>
    <w:link w:val="146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66">
    <w:name w:val="List Continue"/>
    <w:basedOn w:val="1225"/>
    <w:uiPriority w:val="99"/>
    <w:pPr>
      <w:ind w:left="283"/>
      <w:spacing w:after="120"/>
    </w:pPr>
  </w:style>
  <w:style w:type="paragraph" w:styleId="1467">
    <w:name w:val="List Continue 2"/>
    <w:basedOn w:val="1225"/>
    <w:uiPriority w:val="99"/>
    <w:pPr>
      <w:ind w:left="566"/>
      <w:spacing w:after="120"/>
    </w:pPr>
  </w:style>
  <w:style w:type="paragraph" w:styleId="1468">
    <w:name w:val="List Continue 3"/>
    <w:basedOn w:val="1225"/>
    <w:uiPriority w:val="99"/>
    <w:pPr>
      <w:ind w:left="849"/>
      <w:spacing w:after="120"/>
    </w:pPr>
  </w:style>
  <w:style w:type="paragraph" w:styleId="1469">
    <w:name w:val="List Continue 4"/>
    <w:basedOn w:val="1225"/>
    <w:uiPriority w:val="99"/>
    <w:pPr>
      <w:ind w:left="1132"/>
      <w:spacing w:after="120"/>
    </w:pPr>
  </w:style>
  <w:style w:type="paragraph" w:styleId="1470">
    <w:name w:val="List Continue 5"/>
    <w:basedOn w:val="1225"/>
    <w:uiPriority w:val="99"/>
    <w:pPr>
      <w:ind w:left="1415"/>
      <w:spacing w:after="120"/>
    </w:pPr>
  </w:style>
  <w:style w:type="character" w:styleId="1471">
    <w:name w:val="FollowedHyperlink"/>
    <w:uiPriority w:val="99"/>
    <w:rPr>
      <w:color w:val="800080"/>
      <w:u w:val="single"/>
    </w:rPr>
  </w:style>
  <w:style w:type="paragraph" w:styleId="1472">
    <w:name w:val="Closing"/>
    <w:basedOn w:val="1225"/>
    <w:link w:val="1473"/>
    <w:uiPriority w:val="99"/>
    <w:pPr>
      <w:ind w:left="4252"/>
    </w:pPr>
  </w:style>
  <w:style w:type="character" w:styleId="1473" w:customStyle="1">
    <w:name w:val="Прощание Знак"/>
    <w:basedOn w:val="1235"/>
    <w:link w:val="147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74">
    <w:name w:val="List"/>
    <w:basedOn w:val="1225"/>
    <w:uiPriority w:val="99"/>
    <w:pPr>
      <w:ind w:left="283" w:hanging="283"/>
    </w:pPr>
  </w:style>
  <w:style w:type="paragraph" w:styleId="1475">
    <w:name w:val="List 2"/>
    <w:basedOn w:val="1225"/>
    <w:uiPriority w:val="99"/>
    <w:pPr>
      <w:ind w:left="566" w:hanging="283"/>
    </w:pPr>
  </w:style>
  <w:style w:type="paragraph" w:styleId="1476">
    <w:name w:val="List 3"/>
    <w:basedOn w:val="1225"/>
    <w:uiPriority w:val="99"/>
    <w:pPr>
      <w:ind w:left="849" w:hanging="283"/>
    </w:pPr>
  </w:style>
  <w:style w:type="paragraph" w:styleId="1477">
    <w:name w:val="List 4"/>
    <w:basedOn w:val="1225"/>
    <w:uiPriority w:val="99"/>
    <w:pPr>
      <w:ind w:left="1132" w:hanging="283"/>
    </w:pPr>
  </w:style>
  <w:style w:type="paragraph" w:styleId="1478">
    <w:name w:val="List 5"/>
    <w:basedOn w:val="1225"/>
    <w:uiPriority w:val="99"/>
    <w:pPr>
      <w:ind w:left="1415" w:hanging="283"/>
    </w:pPr>
  </w:style>
  <w:style w:type="paragraph" w:styleId="1479">
    <w:name w:val="HTML Preformatted"/>
    <w:basedOn w:val="1225"/>
    <w:link w:val="1480"/>
    <w:uiPriority w:val="99"/>
    <w:rPr>
      <w:rFonts w:ascii="Courier New" w:hAnsi="Courier New" w:cs="Courier New"/>
      <w:sz w:val="20"/>
      <w:szCs w:val="20"/>
    </w:rPr>
  </w:style>
  <w:style w:type="character" w:styleId="1480" w:customStyle="1">
    <w:name w:val="Стандартный HTML Знак"/>
    <w:basedOn w:val="1235"/>
    <w:link w:val="1479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481">
    <w:name w:val="Strong"/>
    <w:uiPriority w:val="99"/>
    <w:qFormat/>
    <w:rPr>
      <w:b/>
      <w:bCs/>
    </w:rPr>
  </w:style>
  <w:style w:type="character" w:styleId="1482">
    <w:name w:val="HTML Cite"/>
    <w:uiPriority w:val="99"/>
    <w:rPr>
      <w:i/>
      <w:iCs/>
    </w:rPr>
  </w:style>
  <w:style w:type="paragraph" w:styleId="1483">
    <w:name w:val="Message Header"/>
    <w:basedOn w:val="1225"/>
    <w:link w:val="1484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484" w:customStyle="1">
    <w:name w:val="Шапка Знак"/>
    <w:basedOn w:val="1235"/>
    <w:link w:val="1483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485">
    <w:name w:val="E-mail Signature"/>
    <w:basedOn w:val="1225"/>
    <w:link w:val="1486"/>
    <w:uiPriority w:val="99"/>
  </w:style>
  <w:style w:type="character" w:styleId="1486" w:customStyle="1">
    <w:name w:val="Электронная подпись Знак"/>
    <w:basedOn w:val="1235"/>
    <w:link w:val="14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87">
    <w:name w:val="toc 4"/>
    <w:basedOn w:val="1225"/>
    <w:next w:val="1225"/>
    <w:uiPriority w:val="39"/>
    <w:pPr>
      <w:ind w:left="720"/>
      <w:jc w:val="left"/>
      <w:spacing w:after="0"/>
    </w:pPr>
    <w:rPr>
      <w:sz w:val="18"/>
      <w:szCs w:val="18"/>
    </w:rPr>
  </w:style>
  <w:style w:type="paragraph" w:styleId="1488">
    <w:name w:val="toc 5"/>
    <w:basedOn w:val="1225"/>
    <w:next w:val="1225"/>
    <w:uiPriority w:val="39"/>
    <w:pPr>
      <w:ind w:left="960"/>
      <w:jc w:val="left"/>
      <w:spacing w:after="0"/>
    </w:pPr>
    <w:rPr>
      <w:sz w:val="18"/>
      <w:szCs w:val="18"/>
    </w:rPr>
  </w:style>
  <w:style w:type="paragraph" w:styleId="1489">
    <w:name w:val="toc 6"/>
    <w:basedOn w:val="1225"/>
    <w:next w:val="1225"/>
    <w:uiPriority w:val="39"/>
    <w:pPr>
      <w:ind w:left="1200"/>
      <w:jc w:val="left"/>
      <w:spacing w:after="0"/>
    </w:pPr>
    <w:rPr>
      <w:sz w:val="18"/>
      <w:szCs w:val="18"/>
    </w:rPr>
  </w:style>
  <w:style w:type="paragraph" w:styleId="1490">
    <w:name w:val="toc 7"/>
    <w:basedOn w:val="1225"/>
    <w:next w:val="1225"/>
    <w:uiPriority w:val="39"/>
    <w:pPr>
      <w:ind w:left="1440"/>
      <w:jc w:val="left"/>
      <w:spacing w:after="0"/>
    </w:pPr>
    <w:rPr>
      <w:sz w:val="18"/>
      <w:szCs w:val="18"/>
    </w:rPr>
  </w:style>
  <w:style w:type="paragraph" w:styleId="1491">
    <w:name w:val="toc 8"/>
    <w:basedOn w:val="1225"/>
    <w:next w:val="1225"/>
    <w:uiPriority w:val="39"/>
    <w:pPr>
      <w:ind w:left="1680"/>
      <w:jc w:val="left"/>
      <w:spacing w:after="0"/>
    </w:pPr>
    <w:rPr>
      <w:sz w:val="18"/>
      <w:szCs w:val="18"/>
    </w:rPr>
  </w:style>
  <w:style w:type="paragraph" w:styleId="1492">
    <w:name w:val="toc 9"/>
    <w:basedOn w:val="1225"/>
    <w:next w:val="1225"/>
    <w:uiPriority w:val="39"/>
    <w:pPr>
      <w:ind w:left="1920"/>
      <w:jc w:val="left"/>
      <w:spacing w:after="0"/>
    </w:pPr>
    <w:rPr>
      <w:sz w:val="18"/>
      <w:szCs w:val="18"/>
    </w:rPr>
  </w:style>
  <w:style w:type="paragraph" w:styleId="1493" w:customStyle="1">
    <w:name w:val="Стиль1"/>
    <w:basedOn w:val="1225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494" w:customStyle="1">
    <w:name w:val="содержание2-1"/>
    <w:basedOn w:val="1228"/>
    <w:next w:val="1225"/>
    <w:uiPriority w:val="99"/>
  </w:style>
  <w:style w:type="paragraph" w:styleId="1495" w:customStyle="1">
    <w:name w:val="Заголовок 2.1"/>
    <w:basedOn w:val="1226"/>
    <w:uiPriority w:val="99"/>
    <w:pPr>
      <w:keepLines/>
      <w:widowControl w:val="off"/>
      <w:suppressLineNumbers/>
    </w:pPr>
    <w:rPr>
      <w:caps/>
    </w:rPr>
  </w:style>
  <w:style w:type="paragraph" w:styleId="1496" w:customStyle="1">
    <w:name w:val="Стиль2"/>
    <w:basedOn w:val="1407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497" w:customStyle="1">
    <w:name w:val="Стиль3"/>
    <w:basedOn w:val="1422"/>
    <w:pPr>
      <w:numPr>
        <w:ilvl w:val="2"/>
        <w:numId w:val="3"/>
      </w:numPr>
      <w:spacing w:after="0" w:line="240" w:lineRule="auto"/>
      <w:widowControl w:val="off"/>
    </w:pPr>
  </w:style>
  <w:style w:type="paragraph" w:styleId="1498" w:customStyle="1">
    <w:name w:val="содержание2-11"/>
    <w:basedOn w:val="1225"/>
    <w:uiPriority w:val="99"/>
  </w:style>
  <w:style w:type="character" w:styleId="1499" w:customStyle="1">
    <w:name w:val="Знак Знак1"/>
    <w:uiPriority w:val="99"/>
    <w:rPr>
      <w:sz w:val="24"/>
      <w:szCs w:val="24"/>
      <w:lang w:val="ru-RU" w:eastAsia="ru-RU"/>
    </w:rPr>
  </w:style>
  <w:style w:type="character" w:styleId="1500" w:customStyle="1">
    <w:name w:val="Стиль3 Знак"/>
    <w:uiPriority w:val="99"/>
    <w:rPr>
      <w:sz w:val="24"/>
      <w:szCs w:val="24"/>
      <w:lang w:val="ru-RU" w:eastAsia="ru-RU"/>
    </w:rPr>
  </w:style>
  <w:style w:type="paragraph" w:styleId="1501" w:customStyle="1">
    <w:name w:val="Стиль4"/>
    <w:basedOn w:val="1227"/>
    <w:next w:val="1225"/>
    <w:uiPriority w:val="99"/>
    <w:pPr>
      <w:ind w:firstLine="567"/>
      <w:keepLines/>
      <w:widowControl w:val="off"/>
      <w:suppressLineNumbers/>
    </w:pPr>
  </w:style>
  <w:style w:type="paragraph" w:styleId="1502" w:customStyle="1">
    <w:name w:val="Таблица заголовок"/>
    <w:basedOn w:val="1225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503" w:customStyle="1">
    <w:name w:val="текст таблицы"/>
    <w:basedOn w:val="1225"/>
    <w:uiPriority w:val="99"/>
    <w:pPr>
      <w:ind w:right="-102"/>
      <w:jc w:val="left"/>
      <w:spacing w:before="120" w:after="0"/>
    </w:pPr>
  </w:style>
  <w:style w:type="paragraph" w:styleId="1504" w:customStyle="1">
    <w:name w:val="Пункт Знак"/>
    <w:basedOn w:val="1225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505" w:customStyle="1">
    <w:name w:val="a"/>
    <w:basedOn w:val="1225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506" w:customStyle="1">
    <w:name w:val="Словарная статья"/>
    <w:basedOn w:val="1225"/>
    <w:next w:val="1225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507" w:customStyle="1">
    <w:name w:val="Комментарий пользователя"/>
    <w:basedOn w:val="1225"/>
    <w:next w:val="1225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508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509" w:customStyle="1">
    <w:name w:val="Текст выноски Знак"/>
    <w:basedOn w:val="1235"/>
    <w:link w:val="1510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510">
    <w:name w:val="Balloon Text"/>
    <w:basedOn w:val="1225"/>
    <w:link w:val="1509"/>
    <w:uiPriority w:val="99"/>
    <w:semiHidden/>
    <w:rPr>
      <w:sz w:val="20"/>
      <w:szCs w:val="2"/>
    </w:rPr>
  </w:style>
  <w:style w:type="character" w:styleId="1511" w:customStyle="1">
    <w:name w:val="label_body_text_1"/>
    <w:uiPriority w:val="99"/>
  </w:style>
  <w:style w:type="paragraph" w:styleId="1512" w:customStyle="1">
    <w:name w:val="Заголовок 1.Document Header1"/>
    <w:basedOn w:val="1225"/>
    <w:next w:val="1225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513" w:customStyle="1">
    <w:name w:val="ConsPlusNormal"/>
    <w:link w:val="1580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514" w:customStyle="1">
    <w:name w:val="Знак Знак11"/>
    <w:uiPriority w:val="99"/>
    <w:rPr>
      <w:sz w:val="24"/>
      <w:szCs w:val="24"/>
      <w:lang w:val="ru-RU" w:eastAsia="ru-RU"/>
    </w:rPr>
  </w:style>
  <w:style w:type="character" w:styleId="1515" w:customStyle="1">
    <w:name w:val="Текст примечания Знак"/>
    <w:basedOn w:val="1235"/>
    <w:link w:val="151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16">
    <w:name w:val="annotation text"/>
    <w:basedOn w:val="1225"/>
    <w:link w:val="1515"/>
    <w:uiPriority w:val="99"/>
    <w:semiHidden/>
    <w:rPr>
      <w:sz w:val="20"/>
      <w:szCs w:val="20"/>
    </w:rPr>
  </w:style>
  <w:style w:type="character" w:styleId="1517" w:customStyle="1">
    <w:name w:val="Тема примечания Знак"/>
    <w:basedOn w:val="1515"/>
    <w:link w:val="151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518">
    <w:name w:val="annotation subject"/>
    <w:basedOn w:val="1516"/>
    <w:next w:val="1516"/>
    <w:link w:val="1517"/>
    <w:uiPriority w:val="99"/>
    <w:semiHidden/>
    <w:rPr>
      <w:b/>
      <w:bCs/>
    </w:rPr>
  </w:style>
  <w:style w:type="paragraph" w:styleId="1519" w:customStyle="1">
    <w:name w:val="20"/>
    <w:basedOn w:val="1225"/>
    <w:uiPriority w:val="99"/>
    <w:pPr>
      <w:ind w:left="104" w:right="104"/>
      <w:jc w:val="left"/>
      <w:spacing w:before="104" w:after="104"/>
    </w:pPr>
  </w:style>
  <w:style w:type="paragraph" w:styleId="1520" w:customStyle="1">
    <w:name w:val="Пункт"/>
    <w:basedOn w:val="1225"/>
    <w:link w:val="1521"/>
    <w:pPr>
      <w:ind w:left="1404" w:hanging="504"/>
      <w:spacing w:after="0"/>
      <w:tabs>
        <w:tab w:val="num" w:pos="1980" w:leader="none"/>
      </w:tabs>
    </w:pPr>
  </w:style>
  <w:style w:type="character" w:styleId="1521" w:customStyle="1">
    <w:name w:val="Пункт Знак1"/>
    <w:link w:val="152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2" w:customStyle="1">
    <w:name w:val="Подпункт"/>
    <w:basedOn w:val="1520"/>
    <w:link w:val="1523"/>
    <w:pPr>
      <w:ind w:left="1728" w:hanging="648"/>
      <w:tabs>
        <w:tab w:val="clear" w:pos="1980" w:leader="none"/>
        <w:tab w:val="num" w:pos="2520" w:leader="none"/>
      </w:tabs>
    </w:pPr>
  </w:style>
  <w:style w:type="character" w:styleId="1523" w:customStyle="1">
    <w:name w:val="Подпункт Знак1"/>
    <w:link w:val="152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24" w:customStyle="1">
    <w:name w:val="Схема документа Знак"/>
    <w:basedOn w:val="1235"/>
    <w:link w:val="1525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525">
    <w:name w:val="Document Map"/>
    <w:basedOn w:val="1225"/>
    <w:link w:val="1524"/>
    <w:uiPriority w:val="99"/>
    <w:semiHidden/>
    <w:pPr>
      <w:shd w:val="clear" w:color="auto" w:fill="000080"/>
    </w:pPr>
    <w:rPr>
      <w:sz w:val="2"/>
      <w:szCs w:val="2"/>
    </w:rPr>
  </w:style>
  <w:style w:type="paragraph" w:styleId="1526" w:customStyle="1">
    <w:name w:val="Таблица шапка"/>
    <w:basedOn w:val="1225"/>
    <w:link w:val="1527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527" w:customStyle="1">
    <w:name w:val="Таблица шапка Знак"/>
    <w:link w:val="1526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528" w:customStyle="1">
    <w:name w:val="Таблица текст"/>
    <w:basedOn w:val="1225"/>
    <w:link w:val="1529"/>
    <w:pPr>
      <w:ind w:left="57" w:right="57"/>
      <w:jc w:val="left"/>
      <w:spacing w:before="40" w:after="40"/>
    </w:pPr>
    <w:rPr>
      <w:sz w:val="22"/>
      <w:szCs w:val="22"/>
    </w:rPr>
  </w:style>
  <w:style w:type="character" w:styleId="1529" w:customStyle="1">
    <w:name w:val="Таблица текст Знак"/>
    <w:link w:val="1528"/>
    <w:rPr>
      <w:rFonts w:ascii="Times New Roman" w:hAnsi="Times New Roman" w:eastAsia="Times New Roman" w:cs="Times New Roman"/>
      <w:lang w:eastAsia="ru-RU"/>
    </w:rPr>
  </w:style>
  <w:style w:type="paragraph" w:styleId="1530" w:customStyle="1">
    <w:name w:val="пункт"/>
    <w:basedOn w:val="1225"/>
    <w:uiPriority w:val="99"/>
    <w:pPr>
      <w:numPr>
        <w:ilvl w:val="2"/>
        <w:numId w:val="5"/>
      </w:numPr>
      <w:jc w:val="left"/>
      <w:spacing w:before="60"/>
    </w:pPr>
  </w:style>
  <w:style w:type="character" w:styleId="1531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532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3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534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5">
    <w:name w:val="endnote text"/>
    <w:basedOn w:val="1225"/>
    <w:link w:val="1536"/>
    <w:uiPriority w:val="99"/>
    <w:rPr>
      <w:sz w:val="20"/>
      <w:szCs w:val="20"/>
    </w:rPr>
  </w:style>
  <w:style w:type="character" w:styleId="1536" w:customStyle="1">
    <w:name w:val="Текст концевой сноски Знак"/>
    <w:basedOn w:val="1235"/>
    <w:link w:val="153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37" w:customStyle="1">
    <w:name w:val="Основной текст с отступом11"/>
    <w:basedOn w:val="1225"/>
    <w:uiPriority w:val="99"/>
    <w:pPr>
      <w:ind w:firstLine="851"/>
      <w:spacing w:before="60" w:after="0"/>
    </w:pPr>
  </w:style>
  <w:style w:type="character" w:styleId="1538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539">
    <w:name w:val="List Paragraph"/>
    <w:basedOn w:val="1225"/>
    <w:link w:val="1540"/>
    <w:uiPriority w:val="34"/>
    <w:qFormat/>
    <w:pPr>
      <w:ind w:left="720"/>
      <w:jc w:val="left"/>
      <w:spacing w:after="0"/>
    </w:pPr>
  </w:style>
  <w:style w:type="character" w:styleId="1540" w:customStyle="1">
    <w:name w:val="Абзац списка Знак"/>
    <w:basedOn w:val="1235"/>
    <w:link w:val="1539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41" w:customStyle="1">
    <w:name w:val="f"/>
    <w:basedOn w:val="1235"/>
  </w:style>
  <w:style w:type="character" w:styleId="1542" w:customStyle="1">
    <w:name w:val="r"/>
    <w:basedOn w:val="1235"/>
  </w:style>
  <w:style w:type="paragraph" w:styleId="1543">
    <w:name w:val="Body Text 2"/>
    <w:basedOn w:val="1225"/>
    <w:link w:val="1544"/>
    <w:pPr>
      <w:spacing w:after="120" w:line="480" w:lineRule="auto"/>
    </w:pPr>
  </w:style>
  <w:style w:type="character" w:styleId="1544" w:customStyle="1">
    <w:name w:val="Основной текст 2 Знак"/>
    <w:basedOn w:val="1235"/>
    <w:link w:val="1543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45">
    <w:name w:val="Table Grid"/>
    <w:basedOn w:val="1236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46" w:customStyle="1">
    <w:name w:val="Iniiaiie oaeno"/>
    <w:basedOn w:val="1225"/>
    <w:uiPriority w:val="99"/>
    <w:pPr>
      <w:jc w:val="center"/>
      <w:spacing w:after="0"/>
    </w:pPr>
    <w:rPr>
      <w:rFonts w:ascii="Arial" w:hAnsi="Arial" w:cs="Arial"/>
    </w:rPr>
  </w:style>
  <w:style w:type="paragraph" w:styleId="1547" w:customStyle="1">
    <w:name w:val="Абзац списка1"/>
    <w:basedOn w:val="1225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548" w:customStyle="1">
    <w:name w:val="Таблицы (моноширинный)"/>
    <w:basedOn w:val="1225"/>
    <w:next w:val="1225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549" w:customStyle="1">
    <w:name w:val="Подподпункт"/>
    <w:basedOn w:val="1522"/>
    <w:link w:val="1550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550" w:customStyle="1">
    <w:name w:val="Подподпункт Знак"/>
    <w:basedOn w:val="1235"/>
    <w:link w:val="154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51" w:customStyle="1">
    <w:name w:val="Пункт-3"/>
    <w:basedOn w:val="1225"/>
    <w:link w:val="1552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552" w:customStyle="1">
    <w:name w:val="Пункт-3 Знак"/>
    <w:link w:val="155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553" w:customStyle="1">
    <w:name w:val="Основной текст (3)_"/>
    <w:basedOn w:val="1235"/>
    <w:link w:val="1554"/>
    <w:rPr>
      <w:b/>
      <w:bCs/>
      <w:shd w:val="clear" w:color="auto" w:fill="ffffff"/>
    </w:rPr>
  </w:style>
  <w:style w:type="paragraph" w:styleId="1554" w:customStyle="1">
    <w:name w:val="Основной текст (3)"/>
    <w:basedOn w:val="1225"/>
    <w:link w:val="1553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555" w:customStyle="1">
    <w:name w:val="Default"/>
    <w:link w:val="1584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556" w:customStyle="1">
    <w:name w:val="Пункт-4"/>
    <w:basedOn w:val="1225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557" w:customStyle="1">
    <w:name w:val="комментарий"/>
    <w:rPr>
      <w:i/>
      <w:u w:val="none"/>
      <w:shd w:val="clear" w:color="auto" w:fill="ffff99"/>
    </w:rPr>
  </w:style>
  <w:style w:type="paragraph" w:styleId="1558" w:customStyle="1">
    <w:name w:val="Ариал"/>
    <w:basedOn w:val="1225"/>
    <w:link w:val="1559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559" w:customStyle="1">
    <w:name w:val="Ариал Знак1"/>
    <w:link w:val="1558"/>
    <w:rPr>
      <w:rFonts w:ascii="Arial" w:hAnsi="Arial" w:eastAsia="Times New Roman" w:cs="Times New Roman"/>
      <w:sz w:val="24"/>
      <w:szCs w:val="20"/>
    </w:rPr>
  </w:style>
  <w:style w:type="paragraph" w:styleId="1560" w:customStyle="1">
    <w:name w:val="Цитата1"/>
    <w:basedOn w:val="1225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561" w:customStyle="1">
    <w:name w:val="Заголовок_1"/>
    <w:basedOn w:val="1225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562" w:customStyle="1">
    <w:name w:val="Пункт_3"/>
    <w:basedOn w:val="1225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563" w:customStyle="1">
    <w:name w:val="Пункт_2"/>
    <w:basedOn w:val="1225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564" w:customStyle="1">
    <w:name w:val="Пункт_5"/>
    <w:basedOn w:val="1562"/>
    <w:uiPriority w:val="99"/>
    <w:pPr>
      <w:numPr>
        <w:ilvl w:val="4"/>
      </w:numPr>
    </w:pPr>
  </w:style>
  <w:style w:type="paragraph" w:styleId="1565">
    <w:name w:val="Caption"/>
    <w:basedOn w:val="1225"/>
    <w:next w:val="1225"/>
    <w:link w:val="1257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566" w:customStyle="1">
    <w:name w:val="Times 12"/>
    <w:basedOn w:val="1225"/>
    <w:pPr>
      <w:ind w:firstLine="567"/>
      <w:spacing w:after="0"/>
    </w:pPr>
    <w:rPr>
      <w:bCs/>
      <w:szCs w:val="22"/>
    </w:rPr>
  </w:style>
  <w:style w:type="paragraph" w:styleId="1567" w:customStyle="1">
    <w:name w:val="FTN_txt"/>
    <w:basedOn w:val="1225"/>
    <w:pPr>
      <w:numPr>
        <w:ilvl w:val="1"/>
        <w:numId w:val="12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568" w:customStyle="1">
    <w:name w:val="[Ростех] Простой текст (Без уровня)"/>
    <w:link w:val="1569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69" w:customStyle="1">
    <w:name w:val="[Ростех] Простой текст (Без уровня) Знак"/>
    <w:basedOn w:val="1235"/>
    <w:link w:val="1568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70" w:customStyle="1">
    <w:name w:val="[Ростех] Текст Подпункта (Уровень 5)"/>
    <w:link w:val="1571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71" w:customStyle="1">
    <w:name w:val="[Ростех] Текст Подпункта (Уровень 5) Знак"/>
    <w:basedOn w:val="1235"/>
    <w:link w:val="1570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72" w:customStyle="1">
    <w:name w:val="[Ростех] Текст Подпункта (следующий абзац) (Уровень 4)"/>
    <w:link w:val="1573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573" w:customStyle="1">
    <w:name w:val="[Ростех] Текст Подпункта (следующий абзац) (Уровень 4) Знак"/>
    <w:basedOn w:val="1235"/>
    <w:link w:val="1572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574" w:customStyle="1">
    <w:name w:val="Пункт б/н"/>
    <w:basedOn w:val="1225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575" w:customStyle="1">
    <w:name w:val="Основной текст 22"/>
    <w:basedOn w:val="1225"/>
    <w:pPr>
      <w:ind w:firstLine="567"/>
      <w:jc w:val="left"/>
      <w:spacing w:after="0"/>
    </w:pPr>
    <w:rPr>
      <w:szCs w:val="20"/>
    </w:rPr>
  </w:style>
  <w:style w:type="character" w:styleId="1576">
    <w:name w:val="Placeholder Text"/>
    <w:basedOn w:val="1235"/>
    <w:uiPriority w:val="99"/>
    <w:semiHidden/>
    <w:rPr>
      <w:color w:val="808080"/>
    </w:rPr>
  </w:style>
  <w:style w:type="paragraph" w:styleId="1577" w:customStyle="1">
    <w:name w:val="_Маркер (номер) - с заголовком"/>
    <w:basedOn w:val="1225"/>
    <w:pPr>
      <w:jc w:val="left"/>
      <w:spacing w:before="240" w:line="360" w:lineRule="auto"/>
    </w:pPr>
    <w:rPr>
      <w:b/>
      <w:bCs/>
      <w:szCs w:val="20"/>
    </w:rPr>
  </w:style>
  <w:style w:type="table" w:styleId="1578" w:customStyle="1">
    <w:name w:val="Сетка таблицы1"/>
    <w:basedOn w:val="1236"/>
    <w:next w:val="154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79" w:customStyle="1">
    <w:name w:val="Неразрешенное упоминание1"/>
    <w:basedOn w:val="1235"/>
    <w:uiPriority w:val="99"/>
    <w:semiHidden/>
    <w:unhideWhenUsed/>
    <w:rPr>
      <w:color w:val="605e5c"/>
      <w:shd w:val="clear" w:color="auto" w:fill="e1dfdd"/>
    </w:rPr>
  </w:style>
  <w:style w:type="character" w:styleId="1580" w:customStyle="1">
    <w:name w:val="ConsPlusNormal Знак"/>
    <w:link w:val="1513"/>
    <w:rPr>
      <w:rFonts w:ascii="Arial" w:hAnsi="Arial" w:eastAsia="Times New Roman" w:cs="Arial"/>
      <w:sz w:val="20"/>
      <w:szCs w:val="20"/>
      <w:lang w:eastAsia="ru-RU"/>
    </w:rPr>
  </w:style>
  <w:style w:type="paragraph" w:styleId="1581" w:customStyle="1">
    <w:name w:val="Пункт_4"/>
    <w:basedOn w:val="1225"/>
    <w:link w:val="1582"/>
    <w:uiPriority w:val="99"/>
    <w:pPr>
      <w:spacing w:after="0"/>
    </w:pPr>
    <w:rPr>
      <w:sz w:val="28"/>
      <w:szCs w:val="20"/>
      <w:lang w:eastAsia="ko-KR"/>
    </w:rPr>
  </w:style>
  <w:style w:type="character" w:styleId="1582" w:customStyle="1">
    <w:name w:val="Пункт_4 Знак"/>
    <w:link w:val="1581"/>
    <w:uiPriority w:val="99"/>
    <w:rPr>
      <w:rFonts w:ascii="Times New Roman" w:hAnsi="Times New Roman" w:eastAsia="Times New Roman" w:cs="Times New Roman"/>
      <w:sz w:val="28"/>
      <w:szCs w:val="20"/>
      <w:lang w:eastAsia="ko-KR"/>
    </w:rPr>
  </w:style>
  <w:style w:type="table" w:styleId="1583" w:customStyle="1">
    <w:name w:val="Сетка таблицы2"/>
    <w:basedOn w:val="1236"/>
    <w:next w:val="154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84" w:customStyle="1">
    <w:name w:val="Default Знак"/>
    <w:link w:val="1555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585" w:customStyle="1">
    <w:name w:val="Нет"/>
  </w:style>
  <w:style w:type="character" w:styleId="1586" w:customStyle="1">
    <w:name w:val="Hyperlink.0"/>
    <w:basedOn w:val="1585"/>
  </w:style>
  <w:style w:type="character" w:styleId="1587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829138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file:///\\temp-fs.yantarenergo.ru\ia\&#1059;&#1050;&#1055;\&#1047;&#1040;&#1050;&#1056;&#1067;&#1058;&#1040;&#1071;\&#1058;&#1080;&#1087;&#1086;&#1074;&#1099;&#1077;%20&#1076;&#1086;&#1082;&#1091;&#1084;&#1077;&#1085;&#1090;&#1072;&#1094;&#1080;&#1080;\!&#1057;&#1088;&#1077;&#1076;&#1080;%20&#1074;&#1089;&#1077;&#1093;%202025\www.zakupki.gov.ru" TargetMode="External"/><Relationship Id="rId24" Type="http://schemas.openxmlformats.org/officeDocument/2006/relationships/hyperlink" Target="https://www.consultant.ru/document/cons_doc_LAW_5142/03edc46b2ef855fddfaaa3d77dac1d071ef3dba1/" TargetMode="External"/><Relationship Id="rId25" Type="http://schemas.openxmlformats.org/officeDocument/2006/relationships/hyperlink" Target="https://www.consultant.ru/document/cons_doc_LAW_5142/e8b1dba1c6def4f632470a9857908caf60fec137/" TargetMode="External"/><Relationship Id="rId26" Type="http://schemas.openxmlformats.org/officeDocument/2006/relationships/hyperlink" Target="https://www.consultant.ru/document/cons_doc_LAW_144624/af90cad46f4484d18fa490ef1c9d7a3b2fd3be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5142/03edc46b2ef855fddfaaa3d77dac1d071ef3dba1/" TargetMode="External"/><Relationship Id="rId30" Type="http://schemas.openxmlformats.org/officeDocument/2006/relationships/hyperlink" Target="https://www.consultant.ru/document/cons_doc_LAW_5142/e8b1dba1c6def4f632470a9857908caf60fec137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zakupki.gov.ru/epz/orderclause/card/common-info.html?orderClauseInfoId=967865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s://www.consultant.ru/document/cons_doc_LAW_494318/92d969e26a4326c5d02fa79b8f9cf4994ee5633b/" TargetMode="External"/><Relationship Id="rId35" Type="http://schemas.openxmlformats.org/officeDocument/2006/relationships/hyperlink" Target="http://Stepanova-EG@Rosseti-Yantar.Ru" TargetMode="External"/><Relationship Id="rId36" Type="http://schemas.openxmlformats.org/officeDocument/2006/relationships/hyperlink" Target="mailto:Arefeva-MA@Rosseti-Yantar.Ru" TargetMode="External"/><Relationship Id="rId37" Type="http://schemas.openxmlformats.org/officeDocument/2006/relationships/hyperlink" Target="file:///C:\Users\&#1040;&#1083;&#1080;&#1085;&#1072;\Downloads\www.zakupki.gov.ru" TargetMode="External"/><Relationship Id="rId38" Type="http://schemas.openxmlformats.org/officeDocument/2006/relationships/hyperlink" Target="http://fssprus.ru/" TargetMode="External"/><Relationship Id="rId39" Type="http://schemas.openxmlformats.org/officeDocument/2006/relationships/hyperlink" Target="http://www.consultant.ru/document/cons_doc_LAW_34661/f61ff313afecf81a91a43d729c2df55c1d6a1533/" TargetMode="External"/><Relationship Id="rId40" Type="http://schemas.openxmlformats.org/officeDocument/2006/relationships/hyperlink" Target="https://zakupki.gov.ru/epz/dishonestsupplier/search/results.html" TargetMode="External"/><Relationship Id="rId41" Type="http://schemas.openxmlformats.org/officeDocument/2006/relationships/hyperlink" Target="https://www.consultant.ru/document/cons_doc_LAW_116964/a3b63487ad7d07ce045a07b0f1e7a9d9b064de95/?ysclid=lgq77170fl163638946" TargetMode="External"/><Relationship Id="rId42" Type="http://schemas.openxmlformats.org/officeDocument/2006/relationships/hyperlink" Target="https://zakupki.gov.ru/epz/dishonestsupplier/search/results.html" TargetMode="External"/><Relationship Id="rId43" Type="http://schemas.openxmlformats.org/officeDocument/2006/relationships/hyperlink" Target="https://www.consultant.ru/document/cons_doc_LAW_144624/af90cad46f4484d18fa490ef1c9d7a3b2fd3be3b/" TargetMode="External"/><Relationship Id="rId44" Type="http://schemas.openxmlformats.org/officeDocument/2006/relationships/hyperlink" Target="https://minjust.gov.ru/ru/activity/directions/998/" TargetMode="External"/><Relationship Id="rId45" Type="http://schemas.openxmlformats.org/officeDocument/2006/relationships/hyperlink" Target="https://www.consultant.ru/document/cons_doc_LAW_421788/?ysclid=lg20fc4h7v470804950" TargetMode="External"/><Relationship Id="rId46" Type="http://schemas.openxmlformats.org/officeDocument/2006/relationships/hyperlink" Target="https://www.consultant.ru/document/cons_doc_LAW_51040/f651879e0acd4680a6fdc29f983536624055cbcc/?ysclid=lh7dhcp1aq961991988" TargetMode="External"/><Relationship Id="rId47" Type="http://schemas.openxmlformats.org/officeDocument/2006/relationships/hyperlink" Target="https://nopriz.ru/" TargetMode="External"/><Relationship Id="rId48" Type="http://schemas.openxmlformats.org/officeDocument/2006/relationships/hyperlink" Target="https://www.consultant.ru/document/cons_doc_LAW_51040/b884020ea7453099ba8bc9ca021b84982cadea7d/?ysclid=lh7dkmbcyr186717647" TargetMode="External"/><Relationship Id="rId49" Type="http://schemas.openxmlformats.org/officeDocument/2006/relationships/hyperlink" Target="https://nopriz.ru/" TargetMode="External"/><Relationship Id="rId50" Type="http://schemas.openxmlformats.org/officeDocument/2006/relationships/hyperlink" Target="https://www.consultant.ru/document/cons_doc_LAW_51040/df32b8231cf067c4d4e864c717eb6b398358b504/?ysclid=lh7dmiyi73943741650" TargetMode="External"/><Relationship Id="rId51" Type="http://schemas.openxmlformats.org/officeDocument/2006/relationships/hyperlink" Target="https://nostroy.ru/" TargetMode="External"/><Relationship Id="rId52" Type="http://schemas.openxmlformats.org/officeDocument/2006/relationships/hyperlink" Target="https://service.nalog.ru/vyp/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4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yperlink" Target="consultantplus://offline/ref=B7E04B8F5BC345C22463EADCAE81D93CF4CA1215A36F6052F6BC85F6f9C8L" TargetMode="External"/><Relationship Id="rId56" Type="http://schemas.openxmlformats.org/officeDocument/2006/relationships/image" Target="media/image1.png"/><Relationship Id="rId57" Type="http://schemas.openxmlformats.org/officeDocument/2006/relationships/image" Target="media/media1.svg"/><Relationship Id="rId58" Type="http://schemas.openxmlformats.org/officeDocument/2006/relationships/hyperlink" Target="https://rosseti-yantar.ru/about/antikorruptsionnaya-politika/" TargetMode="External"/><Relationship Id="rId59" Type="http://schemas.openxmlformats.org/officeDocument/2006/relationships/hyperlink" Target="http://www.rosseti.ru/about/contacts/opin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." TargetMode="External"/><Relationship Id="rId2" Type="http://schemas.openxmlformats.org/officeDocument/2006/relationships/hyperlink" Target="https://www.cbr.ru/analytics/strform/." TargetMode="External"/><Relationship Id="rId3" Type="http://schemas.openxmlformats.org/officeDocument/2006/relationships/hyperlink" Target="http://www.asv.org.ru/guide/bank/" TargetMode="External"/><Relationship Id="rId4" Type="http://schemas.openxmlformats.org/officeDocument/2006/relationships/hyperlink" Target="http://www.cbr.ru/credit/." TargetMode="External"/><Relationship Id="rId5" Type="http://schemas.openxmlformats.org/officeDocument/2006/relationships/hyperlink" Target="http://www.cbr.ru/credit/" TargetMode="External"/><Relationship Id="rId6" Type="http://schemas.openxmlformats.org/officeDocument/2006/relationships/hyperlink" Target="http://www.cbr.ru/credit/." TargetMode="External"/><Relationship Id="rId7" Type="http://schemas.openxmlformats.org/officeDocument/2006/relationships/hyperlink" Target="https://www.cbr.ru/analytics/strform/." TargetMode="External"/><Relationship Id="rId8" Type="http://schemas.openxmlformats.org/officeDocument/2006/relationships/hyperlink" Target="http://www.asv.org.ru/guide/bank/" TargetMode="External"/><Relationship Id="rId9" Type="http://schemas.openxmlformats.org/officeDocument/2006/relationships/hyperlink" Target="http://www.cbr.ru/credit/." TargetMode="External"/><Relationship Id="rId10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5DE8A-4B60-45AA-8D30-B705D5BE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lastModifiedBy>ogienko-ev</cp:lastModifiedBy>
  <cp:revision>22</cp:revision>
  <dcterms:created xsi:type="dcterms:W3CDTF">2020-03-31T12:58:00Z</dcterms:created>
  <dcterms:modified xsi:type="dcterms:W3CDTF">2026-06-05T11:06:08Z</dcterms:modified>
</cp:coreProperties>
</file>